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F7E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EE9BC3D"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2E6071">
                              <w:rPr>
                                <w:rFonts w:asciiTheme="majorHAnsi" w:hAnsiTheme="majorHAnsi"/>
                                <w:b/>
                                <w:color w:val="0D0D0D" w:themeColor="text1" w:themeTint="F2"/>
                                <w:sz w:val="36"/>
                              </w:rPr>
                              <w:t>109</w:t>
                            </w:r>
                            <w:r>
                              <w:rPr>
                                <w:rFonts w:asciiTheme="majorHAnsi" w:hAnsiTheme="majorHAnsi"/>
                                <w:b/>
                                <w:color w:val="0D0D0D" w:themeColor="text1" w:themeTint="F2"/>
                                <w:sz w:val="36"/>
                              </w:rPr>
                              <w:t>/23</w:t>
                            </w:r>
                          </w:p>
                          <w:p w14:paraId="2F09FD78" w14:textId="7C5254F9"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13.710</w:t>
                            </w:r>
                          </w:p>
                          <w:p w14:paraId="137925A6" w14:textId="5491C219"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6CABB002" w:rsidR="00322450" w:rsidRPr="00B265F3" w:rsidRDefault="00D96EC6" w:rsidP="004B7EB6">
                            <w:pPr>
                              <w:spacing w:line="276" w:lineRule="auto"/>
                              <w:rPr>
                                <w:rFonts w:asciiTheme="majorHAnsi" w:hAnsiTheme="majorHAnsi" w:cs="Arial"/>
                                <w:color w:val="0D0D0D" w:themeColor="text1" w:themeTint="F2"/>
                                <w:szCs w:val="22"/>
                                <w:lang w:val="es-CO"/>
                              </w:rPr>
                            </w:pPr>
                            <w:r w:rsidRPr="00B265F3">
                              <w:rPr>
                                <w:rFonts w:asciiTheme="majorHAnsi" w:hAnsiTheme="majorHAnsi"/>
                                <w:color w:val="0D0D0D" w:themeColor="text1" w:themeTint="F2"/>
                                <w:lang w:val="es-CO"/>
                              </w:rPr>
                              <w:t>JULIAN ALBERTO TORO ORTIZ AND FAMILY</w:t>
                            </w:r>
                          </w:p>
                          <w:p w14:paraId="07E90BFE" w14:textId="1BFFFC55" w:rsidR="005B52B0" w:rsidRPr="00B265F3" w:rsidRDefault="00D96EC6" w:rsidP="004B7EB6">
                            <w:pPr>
                              <w:spacing w:line="276" w:lineRule="auto"/>
                              <w:rPr>
                                <w:rFonts w:asciiTheme="majorHAnsi" w:hAnsiTheme="majorHAnsi"/>
                                <w:color w:val="0D0D0D" w:themeColor="text1" w:themeTint="F2"/>
                                <w:lang w:val="es-CO"/>
                              </w:rPr>
                            </w:pPr>
                            <w:r w:rsidRPr="00B265F3">
                              <w:rPr>
                                <w:rFonts w:asciiTheme="majorHAnsi" w:hAnsiTheme="majorHAnsi"/>
                                <w:color w:val="0D0D0D" w:themeColor="text1" w:themeTint="F2"/>
                                <w:lang w:val="es-CO"/>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EE9BC3D"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2E6071">
                        <w:rPr>
                          <w:rFonts w:asciiTheme="majorHAnsi" w:hAnsiTheme="majorHAnsi"/>
                          <w:b/>
                          <w:color w:val="0D0D0D" w:themeColor="text1" w:themeTint="F2"/>
                          <w:sz w:val="36"/>
                        </w:rPr>
                        <w:t>109</w:t>
                      </w:r>
                      <w:r>
                        <w:rPr>
                          <w:rFonts w:asciiTheme="majorHAnsi" w:hAnsiTheme="majorHAnsi"/>
                          <w:b/>
                          <w:color w:val="0D0D0D" w:themeColor="text1" w:themeTint="F2"/>
                          <w:sz w:val="36"/>
                        </w:rPr>
                        <w:t>/23</w:t>
                      </w:r>
                    </w:p>
                    <w:p w14:paraId="2F09FD78" w14:textId="7C5254F9"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13.710</w:t>
                      </w:r>
                    </w:p>
                    <w:p w14:paraId="137925A6" w14:textId="5491C219"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6CABB002" w:rsidR="00322450" w:rsidRPr="00B265F3" w:rsidRDefault="00D96EC6" w:rsidP="004B7EB6">
                      <w:pPr>
                        <w:spacing w:line="276" w:lineRule="auto"/>
                        <w:rPr>
                          <w:rFonts w:asciiTheme="majorHAnsi" w:hAnsiTheme="majorHAnsi" w:cs="Arial"/>
                          <w:color w:val="0D0D0D" w:themeColor="text1" w:themeTint="F2"/>
                          <w:szCs w:val="22"/>
                          <w:lang w:val="es-CO"/>
                        </w:rPr>
                      </w:pPr>
                      <w:r w:rsidRPr="00B265F3">
                        <w:rPr>
                          <w:rFonts w:asciiTheme="majorHAnsi" w:hAnsiTheme="majorHAnsi"/>
                          <w:color w:val="0D0D0D" w:themeColor="text1" w:themeTint="F2"/>
                          <w:lang w:val="es-CO"/>
                        </w:rPr>
                        <w:t>JULIAN ALBERTO TORO ORTIZ AND FAMILY</w:t>
                      </w:r>
                    </w:p>
                    <w:p w14:paraId="07E90BFE" w14:textId="1BFFFC55" w:rsidR="005B52B0" w:rsidRPr="00B265F3" w:rsidRDefault="00D96EC6" w:rsidP="004B7EB6">
                      <w:pPr>
                        <w:spacing w:line="276" w:lineRule="auto"/>
                        <w:rPr>
                          <w:rFonts w:asciiTheme="majorHAnsi" w:hAnsiTheme="majorHAnsi"/>
                          <w:color w:val="0D0D0D" w:themeColor="text1" w:themeTint="F2"/>
                          <w:lang w:val="es-CO"/>
                        </w:rPr>
                      </w:pPr>
                      <w:r w:rsidRPr="00B265F3">
                        <w:rPr>
                          <w:rFonts w:asciiTheme="majorHAnsi" w:hAnsiTheme="majorHAnsi"/>
                          <w:color w:val="0D0D0D" w:themeColor="text1" w:themeTint="F2"/>
                          <w:lang w:val="es-CO"/>
                        </w:rPr>
                        <w:t>COLOMBIA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0F67CFAB" w:rsidR="00627C9F" w:rsidRPr="00A554F8" w:rsidRDefault="00627C9F" w:rsidP="002C1641">
                            <w:pPr>
                              <w:jc w:val="right"/>
                              <w:rPr>
                                <w:rFonts w:asciiTheme="minorHAnsi" w:hAnsiTheme="minorHAnsi"/>
                                <w:color w:val="FFFFFF" w:themeColor="background1"/>
                                <w:sz w:val="22"/>
                              </w:rPr>
                            </w:pPr>
                            <w:r w:rsidRPr="00A554F8">
                              <w:rPr>
                                <w:rFonts w:asciiTheme="minorHAnsi" w:hAnsiTheme="minorHAnsi"/>
                                <w:color w:val="FFFFFF" w:themeColor="background1"/>
                                <w:sz w:val="22"/>
                              </w:rPr>
                              <w:t>OEA/</w:t>
                            </w:r>
                            <w:proofErr w:type="spellStart"/>
                            <w:r w:rsidRPr="00A554F8">
                              <w:rPr>
                                <w:rFonts w:asciiTheme="minorHAnsi" w:hAnsiTheme="minorHAnsi"/>
                                <w:color w:val="FFFFFF" w:themeColor="background1"/>
                                <w:sz w:val="22"/>
                              </w:rPr>
                              <w:t>Ser.L</w:t>
                            </w:r>
                            <w:proofErr w:type="spellEnd"/>
                            <w:r w:rsidRPr="00A554F8">
                              <w:rPr>
                                <w:rFonts w:asciiTheme="minorHAnsi" w:hAnsiTheme="minorHAnsi"/>
                                <w:color w:val="FFFFFF" w:themeColor="background1"/>
                                <w:sz w:val="22"/>
                              </w:rPr>
                              <w:t>/V/II</w:t>
                            </w:r>
                          </w:p>
                          <w:p w14:paraId="330BBEF7" w14:textId="6A1F5B49" w:rsidR="00627C9F" w:rsidRPr="00A554F8" w:rsidRDefault="00627C9F" w:rsidP="002C1641">
                            <w:pPr>
                              <w:jc w:val="right"/>
                              <w:rPr>
                                <w:rFonts w:asciiTheme="minorHAnsi" w:hAnsiTheme="minorHAnsi"/>
                                <w:color w:val="FFFFFF" w:themeColor="background1"/>
                                <w:sz w:val="22"/>
                              </w:rPr>
                            </w:pPr>
                            <w:r w:rsidRPr="00A554F8">
                              <w:rPr>
                                <w:rFonts w:asciiTheme="minorHAnsi" w:hAnsiTheme="minorHAnsi"/>
                                <w:color w:val="FFFFFF" w:themeColor="background1"/>
                                <w:sz w:val="22"/>
                              </w:rPr>
                              <w:t xml:space="preserve">Doc. </w:t>
                            </w:r>
                            <w:r w:rsidR="003902C1" w:rsidRPr="00A554F8">
                              <w:rPr>
                                <w:rFonts w:asciiTheme="minorHAnsi" w:hAnsiTheme="minorHAnsi"/>
                                <w:color w:val="FFFFFF" w:themeColor="background1"/>
                                <w:sz w:val="22"/>
                              </w:rPr>
                              <w:t>119</w:t>
                            </w:r>
                          </w:p>
                          <w:p w14:paraId="64A9D0B0" w14:textId="1406E4C9" w:rsidR="00627C9F" w:rsidRPr="004B7EB6" w:rsidRDefault="0056643D" w:rsidP="002C1641">
                            <w:pPr>
                              <w:jc w:val="right"/>
                              <w:rPr>
                                <w:rFonts w:asciiTheme="minorHAnsi" w:hAnsiTheme="minorHAnsi"/>
                                <w:color w:val="FFFFFF" w:themeColor="background1"/>
                                <w:sz w:val="22"/>
                              </w:rPr>
                            </w:pPr>
                            <w:r>
                              <w:rPr>
                                <w:rFonts w:asciiTheme="minorHAnsi" w:hAnsiTheme="minorHAnsi"/>
                                <w:color w:val="FFFFFF" w:themeColor="background1"/>
                                <w:sz w:val="22"/>
                              </w:rPr>
                              <w:t>26 July</w:t>
                            </w:r>
                            <w:r w:rsidR="00627C9F">
                              <w:rPr>
                                <w:rFonts w:asciiTheme="minorHAnsi" w:hAnsiTheme="minorHAnsi"/>
                                <w:color w:val="FFFFFF" w:themeColor="background1"/>
                                <w:sz w:val="22"/>
                              </w:rPr>
                              <w:t xml:space="preserve"> 2023</w:t>
                            </w:r>
                          </w:p>
                          <w:p w14:paraId="61B7CA4D" w14:textId="20BC5C2C"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A554F8">
                              <w:rPr>
                                <w:rFonts w:asciiTheme="minorHAnsi" w:hAnsiTheme="minorHAnsi"/>
                                <w:color w:val="FFFFFF" w:themeColor="background1"/>
                                <w:sz w:val="22"/>
                              </w:rPr>
                              <w:t>Spani</w:t>
                            </w:r>
                            <w:r>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0F67CFAB" w:rsidR="00627C9F" w:rsidRPr="00A554F8" w:rsidRDefault="00627C9F" w:rsidP="002C1641">
                      <w:pPr>
                        <w:jc w:val="right"/>
                        <w:rPr>
                          <w:rFonts w:asciiTheme="minorHAnsi" w:hAnsiTheme="minorHAnsi"/>
                          <w:color w:val="FFFFFF" w:themeColor="background1"/>
                          <w:sz w:val="22"/>
                        </w:rPr>
                      </w:pPr>
                      <w:r w:rsidRPr="00A554F8">
                        <w:rPr>
                          <w:rFonts w:asciiTheme="minorHAnsi" w:hAnsiTheme="minorHAnsi"/>
                          <w:color w:val="FFFFFF" w:themeColor="background1"/>
                          <w:sz w:val="22"/>
                        </w:rPr>
                        <w:t>OEA/</w:t>
                      </w:r>
                      <w:proofErr w:type="spellStart"/>
                      <w:r w:rsidRPr="00A554F8">
                        <w:rPr>
                          <w:rFonts w:asciiTheme="minorHAnsi" w:hAnsiTheme="minorHAnsi"/>
                          <w:color w:val="FFFFFF" w:themeColor="background1"/>
                          <w:sz w:val="22"/>
                        </w:rPr>
                        <w:t>Ser.L</w:t>
                      </w:r>
                      <w:proofErr w:type="spellEnd"/>
                      <w:r w:rsidRPr="00A554F8">
                        <w:rPr>
                          <w:rFonts w:asciiTheme="minorHAnsi" w:hAnsiTheme="minorHAnsi"/>
                          <w:color w:val="FFFFFF" w:themeColor="background1"/>
                          <w:sz w:val="22"/>
                        </w:rPr>
                        <w:t>/V/II</w:t>
                      </w:r>
                    </w:p>
                    <w:p w14:paraId="330BBEF7" w14:textId="6A1F5B49" w:rsidR="00627C9F" w:rsidRPr="00A554F8" w:rsidRDefault="00627C9F" w:rsidP="002C1641">
                      <w:pPr>
                        <w:jc w:val="right"/>
                        <w:rPr>
                          <w:rFonts w:asciiTheme="minorHAnsi" w:hAnsiTheme="minorHAnsi"/>
                          <w:color w:val="FFFFFF" w:themeColor="background1"/>
                          <w:sz w:val="22"/>
                        </w:rPr>
                      </w:pPr>
                      <w:r w:rsidRPr="00A554F8">
                        <w:rPr>
                          <w:rFonts w:asciiTheme="minorHAnsi" w:hAnsiTheme="minorHAnsi"/>
                          <w:color w:val="FFFFFF" w:themeColor="background1"/>
                          <w:sz w:val="22"/>
                        </w:rPr>
                        <w:t xml:space="preserve">Doc. </w:t>
                      </w:r>
                      <w:r w:rsidR="003902C1" w:rsidRPr="00A554F8">
                        <w:rPr>
                          <w:rFonts w:asciiTheme="minorHAnsi" w:hAnsiTheme="minorHAnsi"/>
                          <w:color w:val="FFFFFF" w:themeColor="background1"/>
                          <w:sz w:val="22"/>
                        </w:rPr>
                        <w:t>119</w:t>
                      </w:r>
                    </w:p>
                    <w:p w14:paraId="64A9D0B0" w14:textId="1406E4C9" w:rsidR="00627C9F" w:rsidRPr="004B7EB6" w:rsidRDefault="0056643D" w:rsidP="002C1641">
                      <w:pPr>
                        <w:jc w:val="right"/>
                        <w:rPr>
                          <w:rFonts w:asciiTheme="minorHAnsi" w:hAnsiTheme="minorHAnsi"/>
                          <w:color w:val="FFFFFF" w:themeColor="background1"/>
                          <w:sz w:val="22"/>
                        </w:rPr>
                      </w:pPr>
                      <w:r>
                        <w:rPr>
                          <w:rFonts w:asciiTheme="minorHAnsi" w:hAnsiTheme="minorHAnsi"/>
                          <w:color w:val="FFFFFF" w:themeColor="background1"/>
                          <w:sz w:val="22"/>
                        </w:rPr>
                        <w:t>26 July</w:t>
                      </w:r>
                      <w:r w:rsidR="00627C9F">
                        <w:rPr>
                          <w:rFonts w:asciiTheme="minorHAnsi" w:hAnsiTheme="minorHAnsi"/>
                          <w:color w:val="FFFFFF" w:themeColor="background1"/>
                          <w:sz w:val="22"/>
                        </w:rPr>
                        <w:t xml:space="preserve"> 2023</w:t>
                      </w:r>
                    </w:p>
                    <w:p w14:paraId="61B7CA4D" w14:textId="20BC5C2C"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A554F8">
                        <w:rPr>
                          <w:rFonts w:asciiTheme="minorHAnsi" w:hAnsiTheme="minorHAnsi"/>
                          <w:color w:val="FFFFFF" w:themeColor="background1"/>
                          <w:sz w:val="22"/>
                        </w:rPr>
                        <w:t>Spani</w:t>
                      </w:r>
                      <w:r>
                        <w:rPr>
                          <w:rFonts w:asciiTheme="minorHAnsi" w:hAnsiTheme="minorHAnsi"/>
                          <w:color w:val="FFFFFF" w:themeColor="background1"/>
                          <w:sz w:val="22"/>
                        </w:rPr>
                        <w:t>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4682228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w:t>
                            </w:r>
                            <w:proofErr w:type="gramStart"/>
                            <w:r>
                              <w:rPr>
                                <w:rFonts w:asciiTheme="majorHAnsi" w:hAnsiTheme="majorHAnsi"/>
                                <w:color w:val="0D0D0D" w:themeColor="text1" w:themeTint="F2"/>
                                <w:sz w:val="18"/>
                              </w:rPr>
                              <w:t xml:space="preserve">on  </w:t>
                            </w:r>
                            <w:r w:rsidR="0056643D">
                              <w:rPr>
                                <w:rFonts w:asciiTheme="majorHAnsi" w:hAnsiTheme="majorHAnsi"/>
                                <w:color w:val="0D0D0D" w:themeColor="text1" w:themeTint="F2"/>
                                <w:sz w:val="18"/>
                              </w:rPr>
                              <w:t>July</w:t>
                            </w:r>
                            <w:proofErr w:type="gramEnd"/>
                            <w:r w:rsidR="0056643D">
                              <w:rPr>
                                <w:rFonts w:asciiTheme="majorHAnsi" w:hAnsiTheme="majorHAnsi"/>
                                <w:color w:val="0D0D0D" w:themeColor="text1" w:themeTint="F2"/>
                                <w:sz w:val="18"/>
                              </w:rPr>
                              <w:t xml:space="preserve"> 26</w:t>
                            </w:r>
                            <w:r>
                              <w:rPr>
                                <w:rFonts w:asciiTheme="majorHAnsi" w:hAnsiTheme="majorHAnsi"/>
                                <w:color w:val="0D0D0D" w:themeColor="text1" w:themeTint="F2"/>
                                <w:sz w:val="18"/>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4682228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w:t>
                      </w:r>
                      <w:proofErr w:type="gramStart"/>
                      <w:r>
                        <w:rPr>
                          <w:rFonts w:asciiTheme="majorHAnsi" w:hAnsiTheme="majorHAnsi"/>
                          <w:color w:val="0D0D0D" w:themeColor="text1" w:themeTint="F2"/>
                          <w:sz w:val="18"/>
                        </w:rPr>
                        <w:t xml:space="preserve">on  </w:t>
                      </w:r>
                      <w:r w:rsidR="0056643D">
                        <w:rPr>
                          <w:rFonts w:asciiTheme="majorHAnsi" w:hAnsiTheme="majorHAnsi"/>
                          <w:color w:val="0D0D0D" w:themeColor="text1" w:themeTint="F2"/>
                          <w:sz w:val="18"/>
                        </w:rPr>
                        <w:t>July</w:t>
                      </w:r>
                      <w:proofErr w:type="gramEnd"/>
                      <w:r w:rsidR="0056643D">
                        <w:rPr>
                          <w:rFonts w:asciiTheme="majorHAnsi" w:hAnsiTheme="majorHAnsi"/>
                          <w:color w:val="0D0D0D" w:themeColor="text1" w:themeTint="F2"/>
                          <w:sz w:val="18"/>
                        </w:rPr>
                        <w:t xml:space="preserve"> 26</w:t>
                      </w:r>
                      <w:r>
                        <w:rPr>
                          <w:rFonts w:asciiTheme="majorHAnsi" w:hAnsiTheme="majorHAnsi"/>
                          <w:color w:val="0D0D0D" w:themeColor="text1" w:themeTint="F2"/>
                          <w:sz w:val="18"/>
                        </w:rPr>
                        <w:t>, 2023</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43E4ACE" wp14:editId="2BB4C8D0">
                <wp:simplePos x="0" y="0"/>
                <wp:positionH relativeFrom="column">
                  <wp:posOffset>1211580</wp:posOffset>
                </wp:positionH>
                <wp:positionV relativeFrom="paragraph">
                  <wp:posOffset>93345</wp:posOffset>
                </wp:positionV>
                <wp:extent cx="4824095" cy="7315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26387033"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56643D">
                              <w:rPr>
                                <w:rFonts w:asciiTheme="majorHAnsi" w:hAnsiTheme="majorHAnsi"/>
                                <w:color w:val="595959" w:themeColor="text1" w:themeTint="A6"/>
                                <w:sz w:val="18"/>
                              </w:rPr>
                              <w:t>109</w:t>
                            </w:r>
                            <w:r>
                              <w:rPr>
                                <w:rFonts w:asciiTheme="majorHAnsi" w:hAnsiTheme="majorHAnsi"/>
                                <w:color w:val="595959" w:themeColor="text1" w:themeTint="A6"/>
                                <w:sz w:val="18"/>
                              </w:rPr>
                              <w:t>/</w:t>
                            </w:r>
                            <w:r w:rsidR="0056643D">
                              <w:rPr>
                                <w:rFonts w:asciiTheme="majorHAnsi" w:hAnsiTheme="majorHAnsi"/>
                                <w:color w:val="595959" w:themeColor="text1" w:themeTint="A6"/>
                                <w:sz w:val="18"/>
                              </w:rPr>
                              <w:t>23</w:t>
                            </w:r>
                            <w:r>
                              <w:rPr>
                                <w:rFonts w:asciiTheme="majorHAnsi" w:hAnsiTheme="majorHAnsi"/>
                                <w:color w:val="595959" w:themeColor="text1" w:themeTint="A6"/>
                                <w:sz w:val="18"/>
                              </w:rPr>
                              <w:t xml:space="preserve">, Case </w:t>
                            </w:r>
                            <w:r w:rsidR="001B00F0">
                              <w:rPr>
                                <w:rFonts w:asciiTheme="majorHAnsi" w:hAnsiTheme="majorHAnsi"/>
                                <w:color w:val="595959" w:themeColor="text1" w:themeTint="A6"/>
                                <w:sz w:val="18"/>
                              </w:rPr>
                              <w:t>13.710</w:t>
                            </w:r>
                            <w:r>
                              <w:rPr>
                                <w:rFonts w:asciiTheme="majorHAnsi" w:hAnsiTheme="majorHAnsi"/>
                                <w:color w:val="595959" w:themeColor="text1" w:themeTint="A6"/>
                                <w:sz w:val="18"/>
                              </w:rPr>
                              <w:t xml:space="preserve">. Friendly Settlement. </w:t>
                            </w:r>
                            <w:r w:rsidR="001B00F0">
                              <w:rPr>
                                <w:rFonts w:asciiTheme="majorHAnsi" w:hAnsiTheme="majorHAnsi"/>
                                <w:color w:val="595959" w:themeColor="text1" w:themeTint="A6"/>
                                <w:sz w:val="18"/>
                              </w:rPr>
                              <w:t>Julian Alberto Toro Ortiz and family</w:t>
                            </w:r>
                            <w:r>
                              <w:rPr>
                                <w:rFonts w:asciiTheme="majorHAnsi" w:hAnsiTheme="majorHAnsi"/>
                                <w:color w:val="595959" w:themeColor="text1" w:themeTint="A6"/>
                                <w:sz w:val="18"/>
                              </w:rPr>
                              <w:t xml:space="preserve">. </w:t>
                            </w:r>
                            <w:r w:rsidR="001B00F0">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56643D">
                              <w:rPr>
                                <w:rFonts w:asciiTheme="majorHAnsi" w:hAnsiTheme="majorHAnsi"/>
                                <w:color w:val="595959" w:themeColor="text1" w:themeTint="A6"/>
                                <w:sz w:val="18"/>
                              </w:rPr>
                              <w:t>July 26, 2023</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4pt;margin-top:7.35pt;width:379.85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" filled="f" stroked="f" strokeweight=".5pt">
                <v:textbox>
                  <w:txbxContent>
                    <w:p w14:paraId="73BDBA94" w14:textId="26387033"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56643D">
                        <w:rPr>
                          <w:rFonts w:asciiTheme="majorHAnsi" w:hAnsiTheme="majorHAnsi"/>
                          <w:color w:val="595959" w:themeColor="text1" w:themeTint="A6"/>
                          <w:sz w:val="18"/>
                        </w:rPr>
                        <w:t>109</w:t>
                      </w:r>
                      <w:r>
                        <w:rPr>
                          <w:rFonts w:asciiTheme="majorHAnsi" w:hAnsiTheme="majorHAnsi"/>
                          <w:color w:val="595959" w:themeColor="text1" w:themeTint="A6"/>
                          <w:sz w:val="18"/>
                        </w:rPr>
                        <w:t>/</w:t>
                      </w:r>
                      <w:r w:rsidR="0056643D">
                        <w:rPr>
                          <w:rFonts w:asciiTheme="majorHAnsi" w:hAnsiTheme="majorHAnsi"/>
                          <w:color w:val="595959" w:themeColor="text1" w:themeTint="A6"/>
                          <w:sz w:val="18"/>
                        </w:rPr>
                        <w:t>23</w:t>
                      </w:r>
                      <w:r>
                        <w:rPr>
                          <w:rFonts w:asciiTheme="majorHAnsi" w:hAnsiTheme="majorHAnsi"/>
                          <w:color w:val="595959" w:themeColor="text1" w:themeTint="A6"/>
                          <w:sz w:val="18"/>
                        </w:rPr>
                        <w:t xml:space="preserve">, Case </w:t>
                      </w:r>
                      <w:r w:rsidR="001B00F0">
                        <w:rPr>
                          <w:rFonts w:asciiTheme="majorHAnsi" w:hAnsiTheme="majorHAnsi"/>
                          <w:color w:val="595959" w:themeColor="text1" w:themeTint="A6"/>
                          <w:sz w:val="18"/>
                        </w:rPr>
                        <w:t>13.710</w:t>
                      </w:r>
                      <w:r>
                        <w:rPr>
                          <w:rFonts w:asciiTheme="majorHAnsi" w:hAnsiTheme="majorHAnsi"/>
                          <w:color w:val="595959" w:themeColor="text1" w:themeTint="A6"/>
                          <w:sz w:val="18"/>
                        </w:rPr>
                        <w:t xml:space="preserve">. Friendly Settlement. </w:t>
                      </w:r>
                      <w:r w:rsidR="001B00F0">
                        <w:rPr>
                          <w:rFonts w:asciiTheme="majorHAnsi" w:hAnsiTheme="majorHAnsi"/>
                          <w:color w:val="595959" w:themeColor="text1" w:themeTint="A6"/>
                          <w:sz w:val="18"/>
                        </w:rPr>
                        <w:t>Julian Alberto Toro Ortiz and family</w:t>
                      </w:r>
                      <w:r>
                        <w:rPr>
                          <w:rFonts w:asciiTheme="majorHAnsi" w:hAnsiTheme="majorHAnsi"/>
                          <w:color w:val="595959" w:themeColor="text1" w:themeTint="A6"/>
                          <w:sz w:val="18"/>
                        </w:rPr>
                        <w:t xml:space="preserve">. </w:t>
                      </w:r>
                      <w:r w:rsidR="001B00F0">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56643D">
                        <w:rPr>
                          <w:rFonts w:asciiTheme="majorHAnsi" w:hAnsiTheme="majorHAnsi"/>
                          <w:color w:val="595959" w:themeColor="text1" w:themeTint="A6"/>
                          <w:sz w:val="18"/>
                        </w:rPr>
                        <w:t>July 26, 2023</w:t>
                      </w:r>
                      <w:r>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66F2D3BA" w:rsidR="007A2F70" w:rsidRPr="00A554F8" w:rsidRDefault="007A2F70" w:rsidP="00145EDC">
      <w:pPr>
        <w:tabs>
          <w:tab w:val="center" w:pos="5400"/>
        </w:tabs>
        <w:suppressAutoHyphens/>
        <w:spacing w:line="276" w:lineRule="auto"/>
        <w:jc w:val="center"/>
        <w:rPr>
          <w:rFonts w:asciiTheme="majorHAnsi" w:hAnsiTheme="majorHAnsi"/>
          <w:b/>
          <w:sz w:val="18"/>
          <w:szCs w:val="18"/>
        </w:rPr>
      </w:pPr>
      <w:r w:rsidRPr="00A554F8">
        <w:rPr>
          <w:rFonts w:asciiTheme="majorHAnsi" w:hAnsiTheme="majorHAnsi"/>
          <w:b/>
          <w:sz w:val="18"/>
        </w:rPr>
        <w:lastRenderedPageBreak/>
        <w:t xml:space="preserve">REPORT No. </w:t>
      </w:r>
      <w:r w:rsidR="00C055CE" w:rsidRPr="00A554F8">
        <w:rPr>
          <w:rFonts w:asciiTheme="majorHAnsi" w:hAnsiTheme="majorHAnsi"/>
          <w:b/>
          <w:sz w:val="18"/>
        </w:rPr>
        <w:t>109</w:t>
      </w:r>
      <w:r w:rsidRPr="00A554F8">
        <w:rPr>
          <w:rFonts w:asciiTheme="majorHAnsi" w:hAnsiTheme="majorHAnsi"/>
          <w:b/>
          <w:sz w:val="18"/>
        </w:rPr>
        <w:t>/23</w:t>
      </w:r>
    </w:p>
    <w:p w14:paraId="706E5665" w14:textId="1006F0DA" w:rsidR="007A2F70" w:rsidRPr="00A554F8" w:rsidRDefault="007A2F70" w:rsidP="00145EDC">
      <w:pPr>
        <w:tabs>
          <w:tab w:val="center" w:pos="5400"/>
        </w:tabs>
        <w:suppressAutoHyphens/>
        <w:spacing w:line="276" w:lineRule="auto"/>
        <w:jc w:val="center"/>
        <w:rPr>
          <w:rFonts w:asciiTheme="majorHAnsi" w:hAnsiTheme="majorHAnsi"/>
          <w:b/>
          <w:sz w:val="18"/>
          <w:szCs w:val="18"/>
        </w:rPr>
      </w:pPr>
      <w:r w:rsidRPr="00A554F8">
        <w:rPr>
          <w:rFonts w:asciiTheme="majorHAnsi" w:hAnsiTheme="majorHAnsi"/>
          <w:b/>
          <w:sz w:val="18"/>
        </w:rPr>
        <w:t>CASE 13.710</w:t>
      </w:r>
    </w:p>
    <w:p w14:paraId="092332EE" w14:textId="75528EE5" w:rsidR="007A2F70" w:rsidRPr="00A554F8" w:rsidRDefault="007A2F70" w:rsidP="00145EDC">
      <w:pPr>
        <w:tabs>
          <w:tab w:val="center" w:pos="5400"/>
        </w:tabs>
        <w:suppressAutoHyphens/>
        <w:spacing w:line="276" w:lineRule="auto"/>
        <w:jc w:val="center"/>
        <w:rPr>
          <w:rFonts w:asciiTheme="majorHAnsi" w:hAnsiTheme="majorHAnsi"/>
          <w:sz w:val="18"/>
          <w:szCs w:val="18"/>
        </w:rPr>
      </w:pPr>
      <w:r w:rsidRPr="00A554F8">
        <w:rPr>
          <w:rFonts w:asciiTheme="majorHAnsi" w:hAnsiTheme="majorHAnsi"/>
          <w:sz w:val="18"/>
        </w:rPr>
        <w:t xml:space="preserve">FRIENDLY SETTLEMENT </w:t>
      </w:r>
    </w:p>
    <w:p w14:paraId="26658F48" w14:textId="2336707B" w:rsidR="007A2F70" w:rsidRPr="00A554F8" w:rsidRDefault="00D96EC6" w:rsidP="00145EDC">
      <w:pPr>
        <w:tabs>
          <w:tab w:val="center" w:pos="5400"/>
        </w:tabs>
        <w:suppressAutoHyphens/>
        <w:spacing w:line="276" w:lineRule="auto"/>
        <w:jc w:val="center"/>
        <w:rPr>
          <w:rFonts w:asciiTheme="majorHAnsi" w:hAnsiTheme="majorHAnsi"/>
          <w:sz w:val="18"/>
          <w:szCs w:val="18"/>
        </w:rPr>
      </w:pPr>
      <w:r w:rsidRPr="00A554F8">
        <w:rPr>
          <w:rFonts w:asciiTheme="majorHAnsi" w:hAnsiTheme="majorHAnsi"/>
          <w:sz w:val="18"/>
        </w:rPr>
        <w:t>JULIAN ALBERTO TORO ORTIZ AND FAMILY</w:t>
      </w:r>
    </w:p>
    <w:p w14:paraId="21368730" w14:textId="0DE22914" w:rsidR="007A2F70" w:rsidRPr="00A554F8" w:rsidRDefault="00D96EC6" w:rsidP="00145EDC">
      <w:pPr>
        <w:tabs>
          <w:tab w:val="center" w:pos="5400"/>
        </w:tabs>
        <w:suppressAutoHyphens/>
        <w:spacing w:line="276" w:lineRule="auto"/>
        <w:jc w:val="center"/>
        <w:rPr>
          <w:rFonts w:asciiTheme="majorHAnsi" w:hAnsiTheme="majorHAnsi"/>
          <w:sz w:val="18"/>
          <w:szCs w:val="18"/>
          <w:lang w:val="es-CO"/>
        </w:rPr>
      </w:pPr>
      <w:r w:rsidRPr="00A554F8">
        <w:rPr>
          <w:rFonts w:asciiTheme="majorHAnsi" w:hAnsiTheme="majorHAnsi"/>
          <w:sz w:val="18"/>
          <w:lang w:val="es-CO"/>
        </w:rPr>
        <w:t>COLOMBIA</w:t>
      </w:r>
      <w:r w:rsidRPr="00A554F8">
        <w:rPr>
          <w:rStyle w:val="FootnoteReference"/>
          <w:rFonts w:ascii="Cambria" w:hAnsi="Cambria" w:cs="Segoe UI"/>
          <w:sz w:val="18"/>
          <w:szCs w:val="18"/>
          <w:lang w:val="es-ES"/>
        </w:rPr>
        <w:footnoteReference w:id="2"/>
      </w:r>
      <w:r w:rsidRPr="00A554F8">
        <w:rPr>
          <w:rFonts w:asciiTheme="majorHAnsi" w:hAnsiTheme="majorHAnsi"/>
          <w:sz w:val="18"/>
          <w:lang w:val="es-CO"/>
        </w:rPr>
        <w:br/>
      </w:r>
      <w:r w:rsidR="00CB2125" w:rsidRPr="00A554F8">
        <w:rPr>
          <w:rFonts w:asciiTheme="majorHAnsi" w:hAnsiTheme="majorHAnsi"/>
          <w:sz w:val="18"/>
          <w:lang w:val="es-CO"/>
        </w:rPr>
        <w:t>JULY</w:t>
      </w:r>
      <w:r w:rsidRPr="00A554F8">
        <w:rPr>
          <w:rFonts w:asciiTheme="majorHAnsi" w:hAnsiTheme="majorHAnsi"/>
          <w:sz w:val="18"/>
          <w:lang w:val="es-CO"/>
        </w:rPr>
        <w:t xml:space="preserve"> </w:t>
      </w:r>
      <w:r w:rsidR="00C055CE" w:rsidRPr="00A554F8">
        <w:rPr>
          <w:rFonts w:asciiTheme="majorHAnsi" w:hAnsiTheme="majorHAnsi"/>
          <w:sz w:val="18"/>
          <w:lang w:val="es-CO"/>
        </w:rPr>
        <w:t>26</w:t>
      </w:r>
      <w:r w:rsidRPr="00A554F8">
        <w:rPr>
          <w:rFonts w:asciiTheme="majorHAnsi" w:hAnsiTheme="majorHAnsi"/>
          <w:sz w:val="18"/>
          <w:lang w:val="es-CO"/>
        </w:rPr>
        <w:t>, 2023</w:t>
      </w:r>
    </w:p>
    <w:p w14:paraId="527C4BCC" w14:textId="77777777" w:rsidR="00C55560" w:rsidRPr="00C53389" w:rsidRDefault="00C55560" w:rsidP="00145EDC">
      <w:pPr>
        <w:tabs>
          <w:tab w:val="center" w:pos="5400"/>
        </w:tabs>
        <w:suppressAutoHyphens/>
        <w:spacing w:line="276" w:lineRule="auto"/>
        <w:rPr>
          <w:rFonts w:asciiTheme="majorHAnsi" w:hAnsiTheme="majorHAnsi"/>
          <w:sz w:val="18"/>
          <w:szCs w:val="18"/>
          <w:lang w:val="es-CO"/>
        </w:rPr>
      </w:pPr>
    </w:p>
    <w:p w14:paraId="06B0E1CD" w14:textId="77777777" w:rsidR="008A69D6" w:rsidRPr="00C53389" w:rsidRDefault="008A69D6" w:rsidP="00145EDC">
      <w:pPr>
        <w:tabs>
          <w:tab w:val="center" w:pos="5400"/>
        </w:tabs>
        <w:suppressAutoHyphens/>
        <w:spacing w:line="276" w:lineRule="auto"/>
        <w:rPr>
          <w:rFonts w:asciiTheme="majorHAnsi" w:hAnsiTheme="majorHAnsi"/>
          <w:sz w:val="18"/>
          <w:szCs w:val="18"/>
          <w:lang w:val="es-CO"/>
        </w:rPr>
      </w:pPr>
    </w:p>
    <w:p w14:paraId="0574AB1A" w14:textId="77777777" w:rsidR="00FA675D" w:rsidRPr="00B265F3"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B265F3">
        <w:rPr>
          <w:b/>
          <w:sz w:val="20"/>
        </w:rPr>
        <w:t>SUMMARY AND RELEVANT PROCEEDINGS OF THE FRIENDLY SETTLEMENT PROCESS</w:t>
      </w:r>
      <w:r w:rsidRPr="00B265F3">
        <w:rPr>
          <w:b/>
          <w:color w:val="000000" w:themeColor="text1"/>
          <w:sz w:val="20"/>
        </w:rPr>
        <w:t xml:space="preserve"> </w:t>
      </w:r>
    </w:p>
    <w:p w14:paraId="67D4BDB0" w14:textId="77777777" w:rsidR="00DA37B6" w:rsidRPr="00B265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38B48F3D" w14:textId="59A68A15" w:rsidR="00D96EC6" w:rsidRPr="00B265F3" w:rsidRDefault="00D96EC6" w:rsidP="002341A5">
      <w:pPr>
        <w:pStyle w:val="paragraph"/>
        <w:numPr>
          <w:ilvl w:val="0"/>
          <w:numId w:val="56"/>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rPr>
      </w:pPr>
      <w:r w:rsidRPr="00B265F3">
        <w:rPr>
          <w:rStyle w:val="normaltextrun"/>
          <w:rFonts w:ascii="Cambria" w:hAnsi="Cambria"/>
          <w:color w:val="000000"/>
          <w:sz w:val="20"/>
        </w:rPr>
        <w:t>On July 12, 2007, the Inter-American Commission on Human Rights (hereinafter "the Commission" or "</w:t>
      </w:r>
      <w:r w:rsidRPr="00B265F3">
        <w:rPr>
          <w:rStyle w:val="normaltextrun"/>
          <w:rFonts w:ascii="Cambria" w:hAnsi="Cambria"/>
          <w:sz w:val="20"/>
        </w:rPr>
        <w:t xml:space="preserve">IACHR") received a petition filed by Julián Alberto Toro Ortiz, on his own behalf and on behalf of his family, which was subsequently </w:t>
      </w:r>
      <w:r w:rsidR="008B04D5" w:rsidRPr="00B265F3">
        <w:rPr>
          <w:rStyle w:val="normaltextrun"/>
          <w:rFonts w:ascii="Cambria" w:hAnsi="Cambria"/>
          <w:sz w:val="20"/>
        </w:rPr>
        <w:t xml:space="preserve">joined </w:t>
      </w:r>
      <w:r w:rsidRPr="00B265F3">
        <w:rPr>
          <w:rStyle w:val="normaltextrun"/>
          <w:rFonts w:ascii="Cambria" w:hAnsi="Cambria"/>
          <w:sz w:val="20"/>
        </w:rPr>
        <w:t xml:space="preserve">by Castillo Racines Consultores (hereinafter "the petitioners"), alleging </w:t>
      </w:r>
      <w:r w:rsidRPr="00B265F3">
        <w:rPr>
          <w:rStyle w:val="normaltextrun"/>
          <w:rFonts w:ascii="Cambria" w:hAnsi="Cambria"/>
          <w:color w:val="000000"/>
          <w:sz w:val="20"/>
        </w:rPr>
        <w:t xml:space="preserve">the international responsibility of the Republic of Colombia (hereinafter "Colombia" or "the State"), for the violation of the human rights </w:t>
      </w:r>
      <w:r w:rsidR="00D113FD" w:rsidRPr="00B265F3">
        <w:rPr>
          <w:rStyle w:val="normaltextrun"/>
          <w:rFonts w:ascii="Cambria" w:hAnsi="Cambria"/>
          <w:color w:val="000000"/>
          <w:sz w:val="20"/>
        </w:rPr>
        <w:t xml:space="preserve">enshrined </w:t>
      </w:r>
      <w:r w:rsidRPr="00B265F3">
        <w:rPr>
          <w:rStyle w:val="normaltextrun"/>
          <w:rFonts w:ascii="Cambria" w:hAnsi="Cambria"/>
          <w:color w:val="000000"/>
          <w:sz w:val="20"/>
        </w:rPr>
        <w:t>in Article</w:t>
      </w:r>
      <w:r w:rsidR="008B04D5" w:rsidRPr="00B265F3">
        <w:rPr>
          <w:rStyle w:val="normaltextrun"/>
          <w:rFonts w:ascii="Cambria" w:hAnsi="Cambria"/>
          <w:color w:val="000000"/>
          <w:sz w:val="20"/>
        </w:rPr>
        <w:t>s</w:t>
      </w:r>
      <w:r w:rsidRPr="00B265F3">
        <w:rPr>
          <w:rStyle w:val="normaltextrun"/>
          <w:rFonts w:ascii="Cambria" w:hAnsi="Cambria"/>
          <w:color w:val="000000"/>
          <w:sz w:val="20"/>
        </w:rPr>
        <w:t xml:space="preserve"> </w:t>
      </w:r>
      <w:r w:rsidRPr="00B265F3">
        <w:rPr>
          <w:rFonts w:ascii="Cambria" w:hAnsi="Cambria"/>
          <w:color w:val="000000"/>
          <w:sz w:val="20"/>
        </w:rPr>
        <w:t>3 (juridical personality), 4 (life), 5 (</w:t>
      </w:r>
      <w:r w:rsidR="00D113FD" w:rsidRPr="00B265F3">
        <w:rPr>
          <w:rFonts w:ascii="Cambria" w:hAnsi="Cambria"/>
          <w:color w:val="000000"/>
          <w:sz w:val="20"/>
        </w:rPr>
        <w:t>humane treatment</w:t>
      </w:r>
      <w:r w:rsidRPr="00B265F3">
        <w:rPr>
          <w:rFonts w:ascii="Cambria" w:hAnsi="Cambria"/>
          <w:color w:val="000000"/>
          <w:sz w:val="20"/>
        </w:rPr>
        <w:t>), 6 (</w:t>
      </w:r>
      <w:r w:rsidR="00D113FD" w:rsidRPr="00B265F3">
        <w:rPr>
          <w:rFonts w:ascii="Cambria" w:hAnsi="Cambria"/>
          <w:color w:val="000000"/>
          <w:sz w:val="20"/>
        </w:rPr>
        <w:t>freedom from slavery</w:t>
      </w:r>
      <w:r w:rsidRPr="00B265F3">
        <w:rPr>
          <w:rFonts w:ascii="Cambria" w:hAnsi="Cambria"/>
          <w:color w:val="000000"/>
          <w:sz w:val="20"/>
        </w:rPr>
        <w:t>), 7 (personal liberty), 8 (</w:t>
      </w:r>
      <w:r w:rsidR="00D113FD" w:rsidRPr="00B265F3">
        <w:rPr>
          <w:rFonts w:ascii="Cambria" w:hAnsi="Cambria"/>
          <w:color w:val="000000"/>
          <w:sz w:val="20"/>
        </w:rPr>
        <w:t>fair trial</w:t>
      </w:r>
      <w:r w:rsidRPr="00B265F3">
        <w:rPr>
          <w:rFonts w:ascii="Cambria" w:hAnsi="Cambria"/>
          <w:color w:val="000000"/>
          <w:sz w:val="20"/>
        </w:rPr>
        <w:t>), 9 (legality and retroactivity), 10 (compensation), 11 (</w:t>
      </w:r>
      <w:r w:rsidR="00D113FD" w:rsidRPr="00B265F3">
        <w:rPr>
          <w:rFonts w:ascii="Cambria" w:hAnsi="Cambria"/>
          <w:color w:val="000000"/>
          <w:sz w:val="20"/>
        </w:rPr>
        <w:t>privacy</w:t>
      </w:r>
      <w:r w:rsidRPr="00B265F3">
        <w:rPr>
          <w:rFonts w:ascii="Cambria" w:hAnsi="Cambria"/>
          <w:color w:val="000000"/>
          <w:sz w:val="20"/>
        </w:rPr>
        <w:t>), 12 (freedom of conscience and religion), 14 (right of reply), 18 (right to a name), 19 (rights of the child), 20 (nationality), 21 (property), 22 (movement and residence), 23 (right to participate in government), 24 (equality before the law), and 25 (judicial protection), of the American Convention on Human Rights</w:t>
      </w:r>
      <w:r w:rsidRPr="00B265F3">
        <w:rPr>
          <w:rStyle w:val="normaltextrun"/>
          <w:rFonts w:ascii="Cambria" w:hAnsi="Cambria"/>
          <w:color w:val="000000"/>
          <w:sz w:val="20"/>
        </w:rPr>
        <w:t xml:space="preserve">, (hereinafter "Convention" or "American Convention"), in relation to Article 1.1 (obligation to respect rights) of the same instrument, to the detriment of Julián Alberto Toro Ortiz, and his family, derived from the violent deaths of </w:t>
      </w:r>
      <w:r w:rsidRPr="00B265F3">
        <w:rPr>
          <w:rFonts w:ascii="Cambria" w:hAnsi="Cambria"/>
          <w:color w:val="000000"/>
          <w:sz w:val="20"/>
        </w:rPr>
        <w:t xml:space="preserve">Luis Gerardo Toro </w:t>
      </w:r>
      <w:r w:rsidRPr="00B265F3">
        <w:rPr>
          <w:rFonts w:ascii="Cambria" w:hAnsi="Cambria"/>
          <w:sz w:val="20"/>
        </w:rPr>
        <w:t xml:space="preserve">Jiménez, José Davison Toro Ortiz, Robinson de Jesús Agudelo Toro, and Luis Gonzaga Toro Arcila between 1982 and 2006, as well as the lack of due diligence in the investigations and the continuous threats and forced displacement </w:t>
      </w:r>
      <w:r w:rsidRPr="00B265F3">
        <w:rPr>
          <w:rFonts w:ascii="Cambria" w:hAnsi="Cambria"/>
          <w:color w:val="000000"/>
          <w:sz w:val="20"/>
        </w:rPr>
        <w:t>of their families</w:t>
      </w:r>
      <w:r w:rsidRPr="00B265F3">
        <w:rPr>
          <w:rStyle w:val="normaltextrun"/>
          <w:rFonts w:ascii="Cambria" w:hAnsi="Cambria"/>
          <w:color w:val="000000"/>
          <w:sz w:val="20"/>
        </w:rPr>
        <w:t xml:space="preserve">. </w:t>
      </w:r>
    </w:p>
    <w:p w14:paraId="01E7F13A" w14:textId="77777777" w:rsidR="00D96EC6" w:rsidRPr="00B265F3" w:rsidRDefault="00D96EC6" w:rsidP="00D96EC6">
      <w:pPr>
        <w:pStyle w:val="paragraph"/>
        <w:spacing w:before="0" w:beforeAutospacing="0" w:after="0" w:afterAutospacing="0"/>
        <w:jc w:val="both"/>
        <w:textAlignment w:val="baseline"/>
        <w:rPr>
          <w:rStyle w:val="normaltextrun"/>
          <w:rFonts w:ascii="Cambria" w:hAnsi="Cambria" w:cs="Segoe UI"/>
          <w:color w:val="000000"/>
          <w:sz w:val="20"/>
          <w:szCs w:val="20"/>
        </w:rPr>
      </w:pPr>
    </w:p>
    <w:p w14:paraId="3A1DFE49" w14:textId="58E12424" w:rsidR="00D96EC6" w:rsidRPr="00B265F3" w:rsidRDefault="00D96EC6" w:rsidP="002341A5">
      <w:pPr>
        <w:pStyle w:val="paragraph"/>
        <w:numPr>
          <w:ilvl w:val="0"/>
          <w:numId w:val="56"/>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B265F3">
        <w:rPr>
          <w:rStyle w:val="normaltextrun"/>
          <w:rFonts w:ascii="Cambria" w:hAnsi="Cambria"/>
          <w:color w:val="000000"/>
          <w:sz w:val="20"/>
        </w:rPr>
        <w:t xml:space="preserve">On </w:t>
      </w:r>
      <w:r w:rsidRPr="00B265F3">
        <w:rPr>
          <w:rStyle w:val="normaltextrun"/>
          <w:rFonts w:ascii="Cambria" w:hAnsi="Cambria"/>
          <w:color w:val="000000"/>
          <w:sz w:val="20"/>
          <w:bdr w:val="none" w:sz="0" w:space="0" w:color="auto" w:frame="1"/>
        </w:rPr>
        <w:t>December 9, 2018</w:t>
      </w:r>
      <w:r w:rsidRPr="00B265F3">
        <w:rPr>
          <w:rStyle w:val="normaltextrun"/>
          <w:rFonts w:ascii="Cambria" w:hAnsi="Cambria"/>
          <w:color w:val="000000"/>
          <w:sz w:val="20"/>
        </w:rPr>
        <w:t xml:space="preserve">, the Commission issued Admissibility Report </w:t>
      </w:r>
      <w:r w:rsidRPr="00B265F3">
        <w:rPr>
          <w:rStyle w:val="normaltextrun"/>
          <w:rFonts w:ascii="Cambria" w:hAnsi="Cambria"/>
          <w:color w:val="000000"/>
          <w:sz w:val="20"/>
          <w:bdr w:val="none" w:sz="0" w:space="0" w:color="auto" w:frame="1"/>
        </w:rPr>
        <w:t>No. 165/18</w:t>
      </w:r>
      <w:r w:rsidRPr="00B265F3">
        <w:rPr>
          <w:rStyle w:val="normaltextrun"/>
          <w:rFonts w:ascii="Cambria" w:hAnsi="Cambria"/>
          <w:color w:val="000000"/>
          <w:sz w:val="20"/>
        </w:rPr>
        <w:t xml:space="preserve">, in which it declared the petition admissible and its competence to hear the claim presented by the petitioners regarding the alleged violation of the rights enshrined in Articles </w:t>
      </w:r>
      <w:r w:rsidRPr="00B265F3">
        <w:rPr>
          <w:rStyle w:val="normaltextrun"/>
          <w:rFonts w:ascii="Cambria" w:hAnsi="Cambria"/>
          <w:color w:val="000000"/>
          <w:sz w:val="20"/>
          <w:bdr w:val="none" w:sz="0" w:space="0" w:color="auto" w:frame="1"/>
        </w:rPr>
        <w:t>4 (life), 5 (</w:t>
      </w:r>
      <w:r w:rsidR="00D113FD" w:rsidRPr="00B265F3">
        <w:rPr>
          <w:rStyle w:val="normaltextrun"/>
          <w:rFonts w:ascii="Cambria" w:hAnsi="Cambria"/>
          <w:color w:val="000000"/>
          <w:sz w:val="20"/>
          <w:bdr w:val="none" w:sz="0" w:space="0" w:color="auto" w:frame="1"/>
        </w:rPr>
        <w:t>humane treatment</w:t>
      </w:r>
      <w:r w:rsidRPr="00B265F3">
        <w:rPr>
          <w:rStyle w:val="normaltextrun"/>
          <w:rFonts w:ascii="Cambria" w:hAnsi="Cambria"/>
          <w:color w:val="000000"/>
          <w:sz w:val="20"/>
          <w:bdr w:val="none" w:sz="0" w:space="0" w:color="auto" w:frame="1"/>
        </w:rPr>
        <w:t>), 8 (</w:t>
      </w:r>
      <w:r w:rsidR="00D113FD" w:rsidRPr="00B265F3">
        <w:rPr>
          <w:rStyle w:val="normaltextrun"/>
          <w:rFonts w:ascii="Cambria" w:hAnsi="Cambria"/>
          <w:color w:val="000000"/>
          <w:sz w:val="20"/>
          <w:bdr w:val="none" w:sz="0" w:space="0" w:color="auto" w:frame="1"/>
        </w:rPr>
        <w:t>fair trial</w:t>
      </w:r>
      <w:r w:rsidRPr="00B265F3">
        <w:rPr>
          <w:rStyle w:val="normaltextrun"/>
          <w:rFonts w:ascii="Cambria" w:hAnsi="Cambria"/>
          <w:color w:val="000000"/>
          <w:sz w:val="20"/>
          <w:bdr w:val="none" w:sz="0" w:space="0" w:color="auto" w:frame="1"/>
        </w:rPr>
        <w:t xml:space="preserve">), 21 (property), 22 (movement and residence), 25 (judicial protection), and 26 (economic, social and cultural rights) </w:t>
      </w:r>
      <w:r w:rsidRPr="00B265F3">
        <w:rPr>
          <w:rStyle w:val="normaltextrun"/>
          <w:rFonts w:ascii="Cambria" w:hAnsi="Cambria"/>
          <w:color w:val="000000"/>
          <w:sz w:val="20"/>
        </w:rPr>
        <w:t xml:space="preserve">of the American Convention in conjunction with Article 1.1 </w:t>
      </w:r>
      <w:r w:rsidRPr="00B265F3">
        <w:rPr>
          <w:rStyle w:val="normaltextrun"/>
          <w:rFonts w:ascii="Cambria" w:hAnsi="Cambria"/>
          <w:color w:val="000000"/>
          <w:sz w:val="20"/>
          <w:bdr w:val="none" w:sz="0" w:space="0" w:color="auto" w:frame="1"/>
        </w:rPr>
        <w:t xml:space="preserve">(obligation to respect rights) </w:t>
      </w:r>
      <w:r w:rsidRPr="00B265F3">
        <w:rPr>
          <w:rStyle w:val="normaltextrun"/>
          <w:rFonts w:ascii="Cambria" w:hAnsi="Cambria"/>
          <w:color w:val="000000"/>
          <w:sz w:val="20"/>
        </w:rPr>
        <w:t>of the same instrument, to the detriment</w:t>
      </w:r>
      <w:r w:rsidRPr="00B265F3">
        <w:rPr>
          <w:rFonts w:ascii="Cambria" w:hAnsi="Cambria"/>
          <w:color w:val="000000"/>
          <w:sz w:val="20"/>
        </w:rPr>
        <w:t xml:space="preserve">  </w:t>
      </w:r>
      <w:r w:rsidRPr="00B265F3">
        <w:rPr>
          <w:rFonts w:ascii="Cambria" w:hAnsi="Cambria"/>
          <w:sz w:val="20"/>
        </w:rPr>
        <w:t xml:space="preserve">of </w:t>
      </w:r>
      <w:r w:rsidRPr="00B265F3">
        <w:rPr>
          <w:rFonts w:ascii="Cambria" w:hAnsi="Cambria"/>
          <w:color w:val="000000"/>
          <w:sz w:val="20"/>
        </w:rPr>
        <w:t xml:space="preserve">Julián Alberto Toro </w:t>
      </w:r>
      <w:r w:rsidRPr="00B265F3">
        <w:rPr>
          <w:rFonts w:ascii="Cambria" w:hAnsi="Cambria"/>
          <w:sz w:val="20"/>
        </w:rPr>
        <w:t xml:space="preserve">Ortiz and his </w:t>
      </w:r>
      <w:r w:rsidR="008B04D5" w:rsidRPr="00B265F3">
        <w:rPr>
          <w:rFonts w:ascii="Cambria" w:hAnsi="Cambria"/>
          <w:sz w:val="20"/>
        </w:rPr>
        <w:t>family members</w:t>
      </w:r>
      <w:r w:rsidRPr="00B265F3">
        <w:rPr>
          <w:rStyle w:val="normaltextrun"/>
          <w:rFonts w:ascii="Cambria" w:hAnsi="Cambria"/>
          <w:sz w:val="20"/>
        </w:rPr>
        <w:t xml:space="preserve">. </w:t>
      </w:r>
    </w:p>
    <w:p w14:paraId="2BB1038D" w14:textId="77777777" w:rsidR="00D96EC6" w:rsidRPr="00B265F3" w:rsidRDefault="00D96EC6" w:rsidP="00D96EC6">
      <w:pPr>
        <w:pStyle w:val="paragraph"/>
        <w:spacing w:before="0" w:beforeAutospacing="0" w:after="0" w:afterAutospacing="0"/>
        <w:ind w:left="720"/>
        <w:jc w:val="both"/>
        <w:textAlignment w:val="baseline"/>
        <w:rPr>
          <w:rStyle w:val="normaltextrun"/>
          <w:rFonts w:ascii="Cambria" w:hAnsi="Cambria" w:cs="Segoe UI"/>
          <w:sz w:val="20"/>
          <w:szCs w:val="20"/>
        </w:rPr>
      </w:pPr>
    </w:p>
    <w:p w14:paraId="40E1F836" w14:textId="6539E885" w:rsidR="00D96EC6" w:rsidRPr="00B265F3" w:rsidRDefault="00D96EC6" w:rsidP="002341A5">
      <w:pPr>
        <w:pStyle w:val="paragraph"/>
        <w:numPr>
          <w:ilvl w:val="0"/>
          <w:numId w:val="56"/>
        </w:numPr>
        <w:tabs>
          <w:tab w:val="clear" w:pos="720"/>
        </w:tabs>
        <w:spacing w:before="0" w:beforeAutospacing="0" w:after="0" w:afterAutospacing="0"/>
        <w:ind w:left="0" w:firstLine="720"/>
        <w:jc w:val="both"/>
        <w:textAlignment w:val="baseline"/>
        <w:rPr>
          <w:rFonts w:ascii="Cambria" w:hAnsi="Cambria" w:cs="Segoe UI"/>
          <w:sz w:val="20"/>
          <w:szCs w:val="20"/>
        </w:rPr>
      </w:pPr>
      <w:r w:rsidRPr="00B265F3">
        <w:rPr>
          <w:rFonts w:ascii="Cambria" w:hAnsi="Cambria"/>
          <w:sz w:val="20"/>
        </w:rPr>
        <w:t xml:space="preserve">On September 13, 2021, the Colombian State expressed its willingness to move forward in a friendly settlement process in the instant case. On October 6, 2021, the petitioners agreed to initiate a negotiation process. On November 18, 2021, the parties </w:t>
      </w:r>
      <w:proofErr w:type="gramStart"/>
      <w:r w:rsidRPr="00B265F3">
        <w:rPr>
          <w:rFonts w:ascii="Cambria" w:hAnsi="Cambria"/>
          <w:sz w:val="20"/>
        </w:rPr>
        <w:t>entered into</w:t>
      </w:r>
      <w:proofErr w:type="gramEnd"/>
      <w:r w:rsidRPr="00B265F3">
        <w:rPr>
          <w:rFonts w:ascii="Cambria" w:hAnsi="Cambria"/>
          <w:sz w:val="20"/>
        </w:rPr>
        <w:t xml:space="preserve"> a memorandum of understanding for the search for a friendly settlement in the </w:t>
      </w:r>
      <w:r w:rsidR="008B04D5" w:rsidRPr="00B265F3">
        <w:rPr>
          <w:rFonts w:ascii="Cambria" w:hAnsi="Cambria"/>
          <w:sz w:val="20"/>
        </w:rPr>
        <w:t xml:space="preserve">present </w:t>
      </w:r>
      <w:r w:rsidRPr="00B265F3">
        <w:rPr>
          <w:rFonts w:ascii="Cambria" w:hAnsi="Cambria"/>
          <w:sz w:val="20"/>
        </w:rPr>
        <w:t xml:space="preserve">case, together with a work schedule to </w:t>
      </w:r>
      <w:r w:rsidR="00D113FD" w:rsidRPr="00B265F3">
        <w:rPr>
          <w:rFonts w:ascii="Cambria" w:hAnsi="Cambria"/>
          <w:sz w:val="20"/>
        </w:rPr>
        <w:t xml:space="preserve">move forward </w:t>
      </w:r>
      <w:r w:rsidRPr="00B265F3">
        <w:rPr>
          <w:rFonts w:ascii="Cambria" w:hAnsi="Cambria"/>
          <w:sz w:val="20"/>
        </w:rPr>
        <w:t xml:space="preserve">in the negotiations. </w:t>
      </w:r>
      <w:r w:rsidR="00C745E3" w:rsidRPr="00B265F3">
        <w:rPr>
          <w:rFonts w:ascii="Cambria" w:hAnsi="Cambria"/>
          <w:sz w:val="20"/>
        </w:rPr>
        <w:t>Therefore</w:t>
      </w:r>
      <w:r w:rsidRPr="00B265F3">
        <w:rPr>
          <w:rFonts w:ascii="Cambria" w:hAnsi="Cambria"/>
          <w:sz w:val="20"/>
        </w:rPr>
        <w:t xml:space="preserve">, on February 15, 2022, the Commission notified the parties of the formal </w:t>
      </w:r>
      <w:r w:rsidR="008B04D5" w:rsidRPr="00B265F3">
        <w:rPr>
          <w:rFonts w:ascii="Cambria" w:hAnsi="Cambria"/>
          <w:sz w:val="20"/>
        </w:rPr>
        <w:t xml:space="preserve">beginning </w:t>
      </w:r>
      <w:r w:rsidRPr="00B265F3">
        <w:rPr>
          <w:rFonts w:ascii="Cambria" w:hAnsi="Cambria"/>
          <w:sz w:val="20"/>
        </w:rPr>
        <w:t xml:space="preserve">of the friendly settlement procedure. </w:t>
      </w:r>
    </w:p>
    <w:p w14:paraId="37FC0E1A" w14:textId="77777777" w:rsidR="00D96EC6" w:rsidRPr="00B265F3" w:rsidRDefault="00D96EC6" w:rsidP="00D96EC6">
      <w:pPr>
        <w:pStyle w:val="paragraph"/>
        <w:spacing w:before="0" w:beforeAutospacing="0" w:after="0" w:afterAutospacing="0"/>
        <w:jc w:val="both"/>
        <w:textAlignment w:val="baseline"/>
        <w:rPr>
          <w:rFonts w:ascii="Cambria" w:hAnsi="Cambria" w:cs="Segoe UI"/>
          <w:sz w:val="20"/>
          <w:szCs w:val="20"/>
        </w:rPr>
      </w:pPr>
    </w:p>
    <w:p w14:paraId="5BB5D728" w14:textId="3FDF5DFF" w:rsidR="00D96EC6" w:rsidRPr="00B265F3" w:rsidRDefault="00D96EC6" w:rsidP="002341A5">
      <w:pPr>
        <w:pStyle w:val="paragraph"/>
        <w:numPr>
          <w:ilvl w:val="0"/>
          <w:numId w:val="56"/>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B265F3">
        <w:rPr>
          <w:rFonts w:ascii="Cambria" w:hAnsi="Cambria"/>
          <w:sz w:val="20"/>
        </w:rPr>
        <w:t xml:space="preserve">In the following months, the parties held bilateral meetings in order to analyze the reparation measures to be included in the friendly settlement agreement (hereinafter FSA), which resulted in the signing of said instrument on September 29, 2022, in the city of Bogotá. Subsequently, on January 14, 2023, the parties </w:t>
      </w:r>
      <w:r w:rsidR="00D113FD" w:rsidRPr="00B265F3">
        <w:rPr>
          <w:rFonts w:ascii="Cambria" w:hAnsi="Cambria"/>
          <w:sz w:val="20"/>
        </w:rPr>
        <w:t xml:space="preserve">submitted </w:t>
      </w:r>
      <w:r w:rsidRPr="00B265F3">
        <w:rPr>
          <w:rFonts w:ascii="Cambria" w:hAnsi="Cambria"/>
          <w:sz w:val="20"/>
        </w:rPr>
        <w:t xml:space="preserve">a joint report on the progress made </w:t>
      </w:r>
      <w:r w:rsidR="00D113FD" w:rsidRPr="00B265F3">
        <w:rPr>
          <w:rFonts w:ascii="Cambria" w:hAnsi="Cambria"/>
          <w:sz w:val="20"/>
        </w:rPr>
        <w:t xml:space="preserve">towards implementing </w:t>
      </w:r>
      <w:r w:rsidRPr="00B265F3">
        <w:rPr>
          <w:rFonts w:ascii="Cambria" w:hAnsi="Cambria"/>
          <w:sz w:val="20"/>
        </w:rPr>
        <w:t xml:space="preserve">the FSA and </w:t>
      </w:r>
      <w:r w:rsidR="00D113FD" w:rsidRPr="00B265F3">
        <w:rPr>
          <w:rFonts w:ascii="Cambria" w:hAnsi="Cambria"/>
          <w:sz w:val="20"/>
        </w:rPr>
        <w:t xml:space="preserve">asked </w:t>
      </w:r>
      <w:r w:rsidRPr="00B265F3">
        <w:rPr>
          <w:rFonts w:ascii="Cambria" w:hAnsi="Cambria"/>
          <w:sz w:val="20"/>
        </w:rPr>
        <w:t xml:space="preserve">the IACHR to approve it. </w:t>
      </w:r>
    </w:p>
    <w:p w14:paraId="6A0BFFF5" w14:textId="77777777" w:rsidR="00D96EC6" w:rsidRPr="00B265F3" w:rsidRDefault="00D96EC6" w:rsidP="00D96EC6">
      <w:pPr>
        <w:pStyle w:val="paragraph"/>
        <w:spacing w:before="0" w:beforeAutospacing="0" w:after="0" w:afterAutospacing="0"/>
        <w:ind w:left="720"/>
        <w:jc w:val="both"/>
        <w:textAlignment w:val="baseline"/>
        <w:rPr>
          <w:rStyle w:val="normaltextrun"/>
          <w:rFonts w:ascii="Cambria" w:hAnsi="Cambria" w:cs="Segoe UI"/>
          <w:sz w:val="20"/>
          <w:szCs w:val="20"/>
        </w:rPr>
      </w:pPr>
    </w:p>
    <w:p w14:paraId="69673F74" w14:textId="5CF64EDA" w:rsidR="00D96EC6" w:rsidRPr="00B265F3" w:rsidRDefault="00D96EC6" w:rsidP="002341A5">
      <w:pPr>
        <w:pStyle w:val="paragraph"/>
        <w:numPr>
          <w:ilvl w:val="0"/>
          <w:numId w:val="56"/>
        </w:numPr>
        <w:tabs>
          <w:tab w:val="clear" w:pos="720"/>
        </w:tabs>
        <w:spacing w:before="0" w:beforeAutospacing="0" w:after="0" w:afterAutospacing="0"/>
        <w:ind w:left="0" w:firstLine="720"/>
        <w:jc w:val="both"/>
        <w:textAlignment w:val="baseline"/>
        <w:rPr>
          <w:rFonts w:ascii="Cambria" w:hAnsi="Cambria" w:cs="Segoe UI"/>
          <w:sz w:val="20"/>
          <w:szCs w:val="20"/>
        </w:rPr>
      </w:pPr>
      <w:r w:rsidRPr="00B265F3">
        <w:rPr>
          <w:rStyle w:val="normaltextrun"/>
          <w:rFonts w:ascii="Cambria" w:hAnsi="Cambria"/>
          <w:sz w:val="20"/>
        </w:rPr>
        <w:t xml:space="preserve">Pursuant to </w:t>
      </w:r>
      <w:r w:rsidR="00C745E3" w:rsidRPr="00B265F3">
        <w:rPr>
          <w:rStyle w:val="normaltextrun"/>
          <w:rFonts w:ascii="Cambria" w:hAnsi="Cambria"/>
          <w:sz w:val="20"/>
        </w:rPr>
        <w:t xml:space="preserve">provisions of </w:t>
      </w:r>
      <w:r w:rsidRPr="00B265F3">
        <w:rPr>
          <w:rStyle w:val="normaltextrun"/>
          <w:rFonts w:ascii="Cambria" w:hAnsi="Cambria"/>
          <w:sz w:val="20"/>
        </w:rPr>
        <w:t xml:space="preserve">Article 49 of the American Convention and </w:t>
      </w:r>
      <w:r w:rsidR="00C745E3" w:rsidRPr="00B265F3">
        <w:rPr>
          <w:rStyle w:val="normaltextrun"/>
          <w:rFonts w:ascii="Cambria" w:hAnsi="Cambria"/>
          <w:sz w:val="20"/>
        </w:rPr>
        <w:t xml:space="preserve">Article </w:t>
      </w:r>
      <w:r w:rsidRPr="00B265F3">
        <w:rPr>
          <w:rStyle w:val="normaltextrun"/>
          <w:rFonts w:ascii="Cambria" w:hAnsi="Cambria"/>
          <w:sz w:val="20"/>
        </w:rPr>
        <w:t>40 (5) of the Rules of Procedure</w:t>
      </w:r>
      <w:r w:rsidR="00C745E3" w:rsidRPr="00B265F3">
        <w:rPr>
          <w:rStyle w:val="normaltextrun"/>
          <w:rFonts w:ascii="Cambria" w:hAnsi="Cambria"/>
          <w:sz w:val="20"/>
        </w:rPr>
        <w:t xml:space="preserve"> of the Commission</w:t>
      </w:r>
      <w:r w:rsidRPr="00B265F3">
        <w:rPr>
          <w:rStyle w:val="normaltextrun"/>
          <w:rFonts w:ascii="Cambria" w:hAnsi="Cambria"/>
          <w:sz w:val="20"/>
        </w:rPr>
        <w:t>, this friendly settlement report includes a</w:t>
      </w:r>
      <w:r w:rsidR="00C745E3" w:rsidRPr="00B265F3">
        <w:rPr>
          <w:rStyle w:val="normaltextrun"/>
          <w:rFonts w:ascii="Cambria" w:hAnsi="Cambria"/>
          <w:sz w:val="20"/>
        </w:rPr>
        <w:t xml:space="preserve">n overview of the facts alleged by the petitioners </w:t>
      </w:r>
      <w:r w:rsidRPr="00B265F3">
        <w:rPr>
          <w:rStyle w:val="normaltextrun"/>
          <w:rFonts w:ascii="Cambria" w:hAnsi="Cambria"/>
          <w:sz w:val="20"/>
        </w:rPr>
        <w:t xml:space="preserve">and the </w:t>
      </w:r>
      <w:r w:rsidR="00C745E3" w:rsidRPr="00B265F3">
        <w:rPr>
          <w:rStyle w:val="normaltextrun"/>
          <w:rFonts w:ascii="Cambria" w:hAnsi="Cambria"/>
          <w:sz w:val="20"/>
        </w:rPr>
        <w:t xml:space="preserve">transcription of </w:t>
      </w:r>
      <w:r w:rsidRPr="00B265F3">
        <w:rPr>
          <w:rStyle w:val="normaltextrun"/>
          <w:rFonts w:ascii="Cambria" w:hAnsi="Cambria"/>
          <w:sz w:val="20"/>
        </w:rPr>
        <w:t xml:space="preserve">the friendly settlement agreement signed on September 29, 2022 by the petitioners and representatives of the Colombian State. </w:t>
      </w:r>
      <w:r w:rsidR="00C745E3" w:rsidRPr="00B265F3">
        <w:rPr>
          <w:rStyle w:val="normaltextrun"/>
          <w:rFonts w:ascii="Cambria" w:hAnsi="Cambria"/>
          <w:sz w:val="20"/>
        </w:rPr>
        <w:t>Likewise</w:t>
      </w:r>
      <w:r w:rsidRPr="00B265F3">
        <w:rPr>
          <w:rStyle w:val="normaltextrun"/>
          <w:rFonts w:ascii="Cambria" w:hAnsi="Cambria"/>
          <w:sz w:val="20"/>
        </w:rPr>
        <w:t xml:space="preserve">, the agreement signed by the parties </w:t>
      </w:r>
      <w:r w:rsidR="00C745E3" w:rsidRPr="00B265F3">
        <w:rPr>
          <w:rStyle w:val="normaltextrun"/>
          <w:rFonts w:ascii="Cambria" w:hAnsi="Cambria"/>
          <w:sz w:val="20"/>
        </w:rPr>
        <w:t xml:space="preserve">is approved </w:t>
      </w:r>
      <w:r w:rsidRPr="00B265F3">
        <w:rPr>
          <w:rStyle w:val="normaltextrun"/>
          <w:rFonts w:ascii="Cambria" w:hAnsi="Cambria"/>
          <w:sz w:val="20"/>
        </w:rPr>
        <w:t xml:space="preserve">and </w:t>
      </w:r>
      <w:r w:rsidR="00C745E3" w:rsidRPr="00B265F3">
        <w:rPr>
          <w:rStyle w:val="normaltextrun"/>
          <w:rFonts w:ascii="Cambria" w:hAnsi="Cambria"/>
          <w:sz w:val="20"/>
        </w:rPr>
        <w:t xml:space="preserve">it is agreed that </w:t>
      </w:r>
      <w:r w:rsidRPr="00B265F3">
        <w:rPr>
          <w:rStyle w:val="normaltextrun"/>
          <w:rFonts w:ascii="Cambria" w:hAnsi="Cambria"/>
          <w:sz w:val="20"/>
        </w:rPr>
        <w:t xml:space="preserve">this report </w:t>
      </w:r>
      <w:r w:rsidR="00C745E3" w:rsidRPr="00B265F3">
        <w:rPr>
          <w:rStyle w:val="normaltextrun"/>
          <w:rFonts w:ascii="Cambria" w:hAnsi="Cambria"/>
          <w:sz w:val="20"/>
        </w:rPr>
        <w:t xml:space="preserve">will be published </w:t>
      </w:r>
      <w:r w:rsidRPr="00B265F3">
        <w:rPr>
          <w:rStyle w:val="normaltextrun"/>
          <w:rFonts w:ascii="Cambria" w:hAnsi="Cambria"/>
          <w:sz w:val="20"/>
        </w:rPr>
        <w:t xml:space="preserve">in </w:t>
      </w:r>
      <w:r w:rsidR="00C745E3" w:rsidRPr="00B265F3">
        <w:rPr>
          <w:rStyle w:val="normaltextrun"/>
          <w:rFonts w:ascii="Cambria" w:hAnsi="Cambria"/>
          <w:sz w:val="20"/>
        </w:rPr>
        <w:t xml:space="preserve">the </w:t>
      </w:r>
      <w:r w:rsidRPr="00B265F3">
        <w:rPr>
          <w:rStyle w:val="normaltextrun"/>
          <w:rFonts w:ascii="Cambria" w:hAnsi="Cambria"/>
          <w:sz w:val="20"/>
        </w:rPr>
        <w:t>Annual Report to the General Assembly of the Organization of American States.</w:t>
      </w:r>
    </w:p>
    <w:p w14:paraId="677E0072" w14:textId="0C19112C" w:rsidR="00DA37B6" w:rsidRPr="00B265F3" w:rsidRDefault="00DA37B6" w:rsidP="00D96EC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6985AA48" w14:textId="77777777" w:rsidR="00FA675D" w:rsidRPr="00B265F3"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B265F3">
        <w:rPr>
          <w:b/>
          <w:sz w:val="20"/>
        </w:rPr>
        <w:lastRenderedPageBreak/>
        <w:t>THE FACTS ALLEGED</w:t>
      </w:r>
      <w:r w:rsidRPr="00B265F3">
        <w:rPr>
          <w:b/>
          <w:color w:val="000000" w:themeColor="text1"/>
          <w:sz w:val="20"/>
        </w:rPr>
        <w:t xml:space="preserve"> </w:t>
      </w:r>
    </w:p>
    <w:p w14:paraId="47E28A2F" w14:textId="77777777" w:rsidR="00DA37B6" w:rsidRPr="00B265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5AC48DB" w14:textId="44BBC984"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B265F3">
        <w:rPr>
          <w:rFonts w:asciiTheme="majorHAnsi" w:hAnsiTheme="majorHAnsi"/>
          <w:sz w:val="20"/>
        </w:rPr>
        <w:t xml:space="preserve">Mr. Julián Alberto Toro Ortiz alleged that between 1982 and 2006 his father, Luis Gerardo Toro Jiménez, his brother, José Davison Toro Ortiz, and his two cousins, Robinson de Jesús Agudelo Toro and Luis Gonzaga Toro Arcila, were violently killed. The petitioner added that he and his next of kin have been continuously threatened, that the State has failed to protect them and that they have had to move out of town several times accordingly. He </w:t>
      </w:r>
      <w:r w:rsidR="00C745E3" w:rsidRPr="00B265F3">
        <w:rPr>
          <w:rFonts w:asciiTheme="majorHAnsi" w:hAnsiTheme="majorHAnsi"/>
          <w:sz w:val="20"/>
        </w:rPr>
        <w:t>stated</w:t>
      </w:r>
      <w:r w:rsidRPr="00B265F3">
        <w:rPr>
          <w:rFonts w:asciiTheme="majorHAnsi" w:hAnsiTheme="majorHAnsi"/>
          <w:sz w:val="20"/>
        </w:rPr>
        <w:t xml:space="preserve"> that, as a result, they have lived in a constant situation of uncertainty and their economic and social development has been rendered impossible. </w:t>
      </w:r>
    </w:p>
    <w:p w14:paraId="6D73E89A" w14:textId="1E3FE156"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B265F3">
        <w:rPr>
          <w:rFonts w:asciiTheme="majorHAnsi" w:hAnsiTheme="majorHAnsi"/>
          <w:sz w:val="20"/>
        </w:rPr>
        <w:t xml:space="preserve">The petitioner </w:t>
      </w:r>
      <w:proofErr w:type="spellStart"/>
      <w:r w:rsidRPr="00B265F3">
        <w:rPr>
          <w:rFonts w:asciiTheme="majorHAnsi" w:hAnsiTheme="majorHAnsi"/>
          <w:sz w:val="20"/>
        </w:rPr>
        <w:t>submited</w:t>
      </w:r>
      <w:proofErr w:type="spellEnd"/>
      <w:r w:rsidRPr="00B265F3">
        <w:rPr>
          <w:rFonts w:asciiTheme="majorHAnsi" w:hAnsiTheme="majorHAnsi"/>
          <w:sz w:val="20"/>
        </w:rPr>
        <w:t xml:space="preserve"> that his father was killed on July 21, 1982 when he was working as a municipal guard in the city of </w:t>
      </w:r>
      <w:proofErr w:type="spellStart"/>
      <w:r w:rsidRPr="00B265F3">
        <w:rPr>
          <w:rFonts w:asciiTheme="majorHAnsi" w:hAnsiTheme="majorHAnsi"/>
          <w:sz w:val="20"/>
        </w:rPr>
        <w:t>Ansermanuevo</w:t>
      </w:r>
      <w:proofErr w:type="spellEnd"/>
      <w:r w:rsidRPr="00B265F3">
        <w:rPr>
          <w:rFonts w:asciiTheme="majorHAnsi" w:hAnsiTheme="majorHAnsi"/>
          <w:sz w:val="20"/>
        </w:rPr>
        <w:t>, Valle del Cauca. He claimed that his father was murdered by two United Self-Defense Forces of Colombia (AUC, by the Spanish acronym) members and that his death certificate reads that he died of gunshot wounds. Several threats have led the family to move out of town; and on October 11, 2002 the petitioner’s cousin, Robinson de Jesús Agudelo Toro, was killed in the context of a massacre attributed to the AUC in the village of Albán, municipality of El Cairo. Later, the AUC</w:t>
      </w:r>
      <w:r w:rsidRPr="00B265F3">
        <w:t xml:space="preserve"> </w:t>
      </w:r>
      <w:r w:rsidRPr="00B265F3">
        <w:rPr>
          <w:rFonts w:asciiTheme="majorHAnsi" w:hAnsiTheme="majorHAnsi"/>
          <w:sz w:val="20"/>
        </w:rPr>
        <w:t xml:space="preserve">allegedly gave the order to kill the petitioner’s brother, who was found dead on November 10, 2002 at the Club </w:t>
      </w:r>
      <w:proofErr w:type="spellStart"/>
      <w:r w:rsidRPr="00B265F3">
        <w:rPr>
          <w:rFonts w:asciiTheme="majorHAnsi" w:hAnsiTheme="majorHAnsi"/>
          <w:sz w:val="20"/>
        </w:rPr>
        <w:t>Náutico</w:t>
      </w:r>
      <w:proofErr w:type="spellEnd"/>
      <w:r w:rsidRPr="00B265F3">
        <w:rPr>
          <w:rFonts w:asciiTheme="majorHAnsi" w:hAnsiTheme="majorHAnsi"/>
          <w:sz w:val="20"/>
        </w:rPr>
        <w:t xml:space="preserve"> of </w:t>
      </w:r>
      <w:proofErr w:type="spellStart"/>
      <w:r w:rsidRPr="00B265F3">
        <w:rPr>
          <w:rFonts w:asciiTheme="majorHAnsi" w:hAnsiTheme="majorHAnsi"/>
          <w:sz w:val="20"/>
        </w:rPr>
        <w:t>Anacaro</w:t>
      </w:r>
      <w:proofErr w:type="spellEnd"/>
      <w:r w:rsidRPr="00B265F3">
        <w:rPr>
          <w:rFonts w:asciiTheme="majorHAnsi" w:hAnsiTheme="majorHAnsi"/>
          <w:sz w:val="20"/>
        </w:rPr>
        <w:t xml:space="preserve">. On April 26, 2006 the dead body of his cousin, Luis Gonzaga Toro Arcila, was found in the area around the town of Marsella, in Risaralda. The petitioner argued that all these incidents were reported to the Public Prosecutor’s Office, the Ministry of Interior, and the National Commission for Reparation and Reconciliation. </w:t>
      </w:r>
    </w:p>
    <w:p w14:paraId="5B913A4F" w14:textId="021DF84A" w:rsidR="00D96EC6" w:rsidRPr="00B265F3" w:rsidRDefault="00D96EC6" w:rsidP="002341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B265F3">
        <w:rPr>
          <w:rFonts w:asciiTheme="majorHAnsi" w:hAnsiTheme="majorHAnsi"/>
          <w:sz w:val="20"/>
        </w:rPr>
        <w:t xml:space="preserve">He </w:t>
      </w:r>
      <w:r w:rsidR="00D113FD" w:rsidRPr="00B265F3">
        <w:rPr>
          <w:rFonts w:asciiTheme="majorHAnsi" w:hAnsiTheme="majorHAnsi"/>
          <w:sz w:val="20"/>
        </w:rPr>
        <w:t xml:space="preserve">stated. Especially with respect to </w:t>
      </w:r>
      <w:r w:rsidRPr="00B265F3">
        <w:rPr>
          <w:rFonts w:asciiTheme="majorHAnsi" w:hAnsiTheme="majorHAnsi"/>
          <w:sz w:val="20"/>
        </w:rPr>
        <w:t xml:space="preserve">his father’s </w:t>
      </w:r>
      <w:proofErr w:type="spellStart"/>
      <w:proofErr w:type="gramStart"/>
      <w:r w:rsidRPr="00B265F3">
        <w:rPr>
          <w:rFonts w:asciiTheme="majorHAnsi" w:hAnsiTheme="majorHAnsi"/>
          <w:sz w:val="20"/>
        </w:rPr>
        <w:t>death</w:t>
      </w:r>
      <w:r w:rsidR="00D113FD" w:rsidRPr="00B265F3">
        <w:rPr>
          <w:rFonts w:asciiTheme="majorHAnsi" w:hAnsiTheme="majorHAnsi"/>
          <w:sz w:val="20"/>
        </w:rPr>
        <w:t>,</w:t>
      </w:r>
      <w:r w:rsidRPr="00B265F3">
        <w:rPr>
          <w:rFonts w:asciiTheme="majorHAnsi" w:hAnsiTheme="majorHAnsi"/>
          <w:sz w:val="20"/>
        </w:rPr>
        <w:t>that</w:t>
      </w:r>
      <w:proofErr w:type="spellEnd"/>
      <w:proofErr w:type="gramEnd"/>
      <w:r w:rsidRPr="00B265F3">
        <w:rPr>
          <w:rFonts w:asciiTheme="majorHAnsi" w:hAnsiTheme="majorHAnsi"/>
          <w:sz w:val="20"/>
        </w:rPr>
        <w:t xml:space="preserve"> the family has been unable to access justice due to the context of violence and the fact that the legal actions they pursued were unsuccessful; that some of the alleged perpetrators have been extradited and others have died. He added that on October 12, 2002 he reported the death of Robinson Agudelo Toro to the 17th Public Prosecutor’s Office of Cartago (case file 68686) and that on November 10, 2002 he reported the murder of José Toro Ortiz to the 16</w:t>
      </w:r>
      <w:r w:rsidRPr="00B265F3">
        <w:rPr>
          <w:rFonts w:asciiTheme="majorHAnsi" w:hAnsiTheme="majorHAnsi"/>
          <w:sz w:val="20"/>
          <w:vertAlign w:val="superscript"/>
        </w:rPr>
        <w:t>th</w:t>
      </w:r>
      <w:r w:rsidRPr="00B265F3">
        <w:rPr>
          <w:rFonts w:asciiTheme="majorHAnsi" w:hAnsiTheme="majorHAnsi"/>
          <w:sz w:val="20"/>
        </w:rPr>
        <w:t xml:space="preserve"> Prosecutor’s Office of Cartago (case file 71680). He also indicated that despite continuous threats, he and his </w:t>
      </w:r>
      <w:r w:rsidR="00D113FD" w:rsidRPr="00B265F3">
        <w:rPr>
          <w:rFonts w:asciiTheme="majorHAnsi" w:hAnsiTheme="majorHAnsi"/>
          <w:sz w:val="20"/>
        </w:rPr>
        <w:t xml:space="preserve">family members </w:t>
      </w:r>
      <w:r w:rsidRPr="00B265F3">
        <w:rPr>
          <w:rFonts w:asciiTheme="majorHAnsi" w:hAnsiTheme="majorHAnsi"/>
          <w:sz w:val="20"/>
        </w:rPr>
        <w:t xml:space="preserve">filed complaints before the Prosecutor’s Office in charge of Justice and Peace Law cases and the Police, in addition to having resorted to several state bodies such as the Ombudsman’s Office of </w:t>
      </w:r>
      <w:proofErr w:type="spellStart"/>
      <w:r w:rsidRPr="00B265F3">
        <w:rPr>
          <w:rFonts w:asciiTheme="majorHAnsi" w:hAnsiTheme="majorHAnsi"/>
          <w:sz w:val="20"/>
        </w:rPr>
        <w:t>Zarzal</w:t>
      </w:r>
      <w:proofErr w:type="spellEnd"/>
      <w:r w:rsidRPr="00B265F3">
        <w:rPr>
          <w:rFonts w:asciiTheme="majorHAnsi" w:hAnsiTheme="majorHAnsi"/>
          <w:sz w:val="20"/>
        </w:rPr>
        <w:t xml:space="preserve">, the Ombudsman’s Office of </w:t>
      </w:r>
      <w:proofErr w:type="spellStart"/>
      <w:r w:rsidRPr="00B265F3">
        <w:rPr>
          <w:rFonts w:asciiTheme="majorHAnsi" w:hAnsiTheme="majorHAnsi"/>
          <w:sz w:val="20"/>
        </w:rPr>
        <w:t>Ansermanuevo</w:t>
      </w:r>
      <w:proofErr w:type="spellEnd"/>
      <w:r w:rsidRPr="00B265F3">
        <w:rPr>
          <w:rFonts w:asciiTheme="majorHAnsi" w:hAnsiTheme="majorHAnsi"/>
          <w:sz w:val="20"/>
        </w:rPr>
        <w:t xml:space="preserve"> and the Ombudsman’s Office of Cali. He alleged that</w:t>
      </w:r>
      <w:r w:rsidR="00D113FD" w:rsidRPr="00B265F3">
        <w:rPr>
          <w:rFonts w:asciiTheme="majorHAnsi" w:hAnsiTheme="majorHAnsi"/>
          <w:sz w:val="20"/>
        </w:rPr>
        <w:t>,</w:t>
      </w:r>
      <w:r w:rsidRPr="00B265F3">
        <w:rPr>
          <w:rFonts w:asciiTheme="majorHAnsi" w:hAnsiTheme="majorHAnsi"/>
          <w:sz w:val="20"/>
        </w:rPr>
        <w:t xml:space="preserve"> </w:t>
      </w:r>
      <w:proofErr w:type="gramStart"/>
      <w:r w:rsidRPr="00B265F3">
        <w:rPr>
          <w:rFonts w:asciiTheme="majorHAnsi" w:hAnsiTheme="majorHAnsi"/>
          <w:sz w:val="20"/>
        </w:rPr>
        <w:t>in spite of</w:t>
      </w:r>
      <w:proofErr w:type="gramEnd"/>
      <w:r w:rsidRPr="00B265F3">
        <w:rPr>
          <w:rFonts w:asciiTheme="majorHAnsi" w:hAnsiTheme="majorHAnsi"/>
          <w:sz w:val="20"/>
        </w:rPr>
        <w:t xml:space="preserve"> their having exposed themselves to higher risk, he and his </w:t>
      </w:r>
      <w:r w:rsidR="00D113FD" w:rsidRPr="00B265F3">
        <w:rPr>
          <w:rFonts w:asciiTheme="majorHAnsi" w:hAnsiTheme="majorHAnsi"/>
          <w:sz w:val="20"/>
        </w:rPr>
        <w:t>family</w:t>
      </w:r>
      <w:r w:rsidRPr="00B265F3">
        <w:rPr>
          <w:rFonts w:asciiTheme="majorHAnsi" w:hAnsiTheme="majorHAnsi"/>
          <w:sz w:val="20"/>
        </w:rPr>
        <w:t xml:space="preserve"> have not been given any answer or protection or reparation measures. He claimed that the State has failed to resolve his numerous requests for help with their social reintegration and prevention from displacement, and that it has only made them sign up the processing for state support, which they believe is not an actual form of reparation.</w:t>
      </w:r>
    </w:p>
    <w:p w14:paraId="0EFEAE48" w14:textId="5E9CD8FC" w:rsidR="00DA37B6" w:rsidRPr="00B265F3" w:rsidRDefault="00D96EC6" w:rsidP="002341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B265F3">
        <w:rPr>
          <w:rFonts w:asciiTheme="majorHAnsi" w:hAnsiTheme="majorHAnsi"/>
          <w:sz w:val="20"/>
        </w:rPr>
        <w:t>The petitioner asserted that although decades have passed since the incidents occurred, not all the persons responsible for the violations of the alleged victims’ human rights have been identified, individualized, investigated and punished nor have the latter been granted full reparation.</w:t>
      </w:r>
    </w:p>
    <w:p w14:paraId="5B70C384" w14:textId="77777777" w:rsidR="00FA675D" w:rsidRPr="00B265F3" w:rsidRDefault="00FA675D" w:rsidP="002341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B265F3">
        <w:rPr>
          <w:rFonts w:ascii="Cambria" w:hAnsi="Cambria"/>
          <w:b/>
          <w:color w:val="000000" w:themeColor="text1"/>
          <w:sz w:val="20"/>
        </w:rPr>
        <w:t>FRIENDLY SETTLEMENT</w:t>
      </w:r>
    </w:p>
    <w:p w14:paraId="1009841C" w14:textId="77777777" w:rsidR="00DA37B6" w:rsidRPr="00B265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58F61885" w14:textId="52CADD90" w:rsidR="00D96EC6" w:rsidRPr="00B265F3" w:rsidRDefault="00D96EC6" w:rsidP="002341A5">
      <w:pPr>
        <w:pStyle w:val="paragraph"/>
        <w:numPr>
          <w:ilvl w:val="0"/>
          <w:numId w:val="56"/>
        </w:numPr>
        <w:tabs>
          <w:tab w:val="clear" w:pos="720"/>
        </w:tabs>
        <w:spacing w:before="0" w:beforeAutospacing="0" w:after="0" w:afterAutospacing="0"/>
        <w:ind w:left="0" w:firstLine="720"/>
        <w:jc w:val="both"/>
        <w:textAlignment w:val="baseline"/>
        <w:rPr>
          <w:rFonts w:ascii="Cambria" w:hAnsi="Cambria" w:cs="Segoe UI"/>
          <w:sz w:val="20"/>
          <w:szCs w:val="20"/>
        </w:rPr>
      </w:pPr>
      <w:r w:rsidRPr="00B265F3">
        <w:rPr>
          <w:rFonts w:ascii="Cambria" w:hAnsi="Cambria"/>
          <w:sz w:val="20"/>
        </w:rPr>
        <w:t xml:space="preserve">On September 29, 2022, the parties signed </w:t>
      </w:r>
      <w:r w:rsidR="00D113FD" w:rsidRPr="00B265F3">
        <w:rPr>
          <w:rFonts w:ascii="Cambria" w:hAnsi="Cambria"/>
          <w:sz w:val="20"/>
        </w:rPr>
        <w:t xml:space="preserve">a </w:t>
      </w:r>
      <w:r w:rsidRPr="00B265F3">
        <w:rPr>
          <w:rFonts w:ascii="Cambria" w:hAnsi="Cambria"/>
          <w:sz w:val="20"/>
        </w:rPr>
        <w:t>friendly settlement agreement</w:t>
      </w:r>
      <w:r w:rsidR="00D113FD" w:rsidRPr="00B265F3">
        <w:rPr>
          <w:rFonts w:ascii="Cambria" w:hAnsi="Cambria"/>
          <w:sz w:val="20"/>
        </w:rPr>
        <w:t>, which states the following</w:t>
      </w:r>
      <w:r w:rsidRPr="00B265F3">
        <w:rPr>
          <w:rFonts w:ascii="Cambria" w:hAnsi="Cambria"/>
          <w:sz w:val="20"/>
        </w:rPr>
        <w:t>:</w:t>
      </w:r>
    </w:p>
    <w:p w14:paraId="741779A2" w14:textId="77777777" w:rsidR="00D96EC6" w:rsidRPr="00B265F3" w:rsidRDefault="00D96EC6" w:rsidP="00D96EC6">
      <w:pPr>
        <w:pStyle w:val="paragraph"/>
        <w:spacing w:before="0" w:beforeAutospacing="0" w:after="0" w:afterAutospacing="0"/>
        <w:ind w:firstLine="720"/>
        <w:jc w:val="both"/>
        <w:textAlignment w:val="baseline"/>
        <w:rPr>
          <w:rFonts w:ascii="Cambria" w:hAnsi="Cambria" w:cs="Segoe UI"/>
          <w:sz w:val="20"/>
          <w:szCs w:val="20"/>
        </w:rPr>
      </w:pPr>
    </w:p>
    <w:p w14:paraId="43A23B74"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FRIENDLY SETTLEMENT AGREEMENT</w:t>
      </w:r>
      <w:r w:rsidRPr="00B265F3">
        <w:rPr>
          <w:rFonts w:ascii="Cambria" w:hAnsi="Cambria"/>
          <w:color w:val="000000"/>
          <w:sz w:val="20"/>
        </w:rPr>
        <w:t> </w:t>
      </w:r>
    </w:p>
    <w:p w14:paraId="41CFB7DE" w14:textId="77777777" w:rsidR="00D96EC6" w:rsidRPr="00B265F3" w:rsidRDefault="00D96EC6" w:rsidP="00D96EC6">
      <w:pPr>
        <w:ind w:left="720" w:right="720"/>
        <w:jc w:val="center"/>
        <w:textAlignment w:val="baseline"/>
        <w:rPr>
          <w:rFonts w:ascii="Cambria" w:eastAsia="Times New Roman" w:hAnsi="Cambria" w:cs="Segoe UI"/>
          <w:sz w:val="20"/>
          <w:szCs w:val="20"/>
        </w:rPr>
      </w:pPr>
      <w:r w:rsidRPr="00B265F3">
        <w:rPr>
          <w:rFonts w:ascii="Cambria" w:hAnsi="Cambria"/>
          <w:b/>
          <w:sz w:val="20"/>
        </w:rPr>
        <w:t>CASE No. 13.710, JULIÁN ALBERTO TORO ORTIZ AND FAMILY</w:t>
      </w:r>
      <w:r w:rsidRPr="00B265F3">
        <w:rPr>
          <w:rFonts w:ascii="Cambria" w:hAnsi="Cambria"/>
          <w:sz w:val="20"/>
        </w:rPr>
        <w:t> </w:t>
      </w:r>
    </w:p>
    <w:p w14:paraId="58CD9A9C"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2B14024" w14:textId="4BA2BD5F"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On September twenty-ninth (29), 2022, in the city of Bogotá, Ana María Ordoñez Puentes, Director of the International Legal Defense Directorate of the National Agency for the Legal Defense of the State, acting with due authorization on behalf and in representation of the Colombian State and hereinafter referred to as the "State" or the "Colombian State," met with </w:t>
      </w:r>
      <w:r w:rsidRPr="00B265F3">
        <w:rPr>
          <w:rFonts w:ascii="Cambria" w:hAnsi="Cambria"/>
          <w:color w:val="000000"/>
          <w:sz w:val="20"/>
          <w:shd w:val="clear" w:color="auto" w:fill="FFFFFF"/>
        </w:rPr>
        <w:t>the firm Castillo Racines Consultores S.A.S.</w:t>
      </w:r>
      <w:r w:rsidRPr="00B265F3">
        <w:rPr>
          <w:rFonts w:ascii="Cambria" w:hAnsi="Cambria"/>
          <w:color w:val="000000"/>
          <w:sz w:val="20"/>
        </w:rPr>
        <w:t xml:space="preserve">, representing the victims and hereinafter referred to as "the petitioners," in order to sign this Friendly Settlement Agreement in connection with </w:t>
      </w:r>
      <w:r w:rsidRPr="00B265F3">
        <w:rPr>
          <w:rFonts w:ascii="Cambria" w:hAnsi="Cambria"/>
          <w:b/>
          <w:color w:val="000000"/>
          <w:sz w:val="20"/>
        </w:rPr>
        <w:t>Case No. 13.710, Julián Alberto Toro Ortiz and family</w:t>
      </w:r>
      <w:r w:rsidRPr="00B265F3">
        <w:rPr>
          <w:rFonts w:ascii="Cambria" w:hAnsi="Cambria"/>
          <w:color w:val="000000"/>
          <w:sz w:val="20"/>
        </w:rPr>
        <w:t>, pending before the Inter-American Commission on Human Rights.   </w:t>
      </w:r>
    </w:p>
    <w:p w14:paraId="44F68D61"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19A9615" w14:textId="16E08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lastRenderedPageBreak/>
        <w:t>PART ONE</w:t>
      </w:r>
      <w:r w:rsidR="00C8767B" w:rsidRPr="00B265F3">
        <w:rPr>
          <w:rFonts w:ascii="Cambria" w:hAnsi="Cambria"/>
          <w:b/>
          <w:color w:val="000000"/>
          <w:sz w:val="20"/>
        </w:rPr>
        <w:t>:</w:t>
      </w:r>
      <w:r w:rsidRPr="00B265F3">
        <w:rPr>
          <w:rFonts w:ascii="Cambria" w:hAnsi="Cambria"/>
          <w:b/>
          <w:color w:val="000000"/>
          <w:sz w:val="20"/>
        </w:rPr>
        <w:t xml:space="preserve"> CONCEPTS</w:t>
      </w:r>
      <w:r w:rsidRPr="00B265F3">
        <w:rPr>
          <w:rFonts w:ascii="Cambria" w:hAnsi="Cambria"/>
          <w:color w:val="000000"/>
          <w:sz w:val="20"/>
        </w:rPr>
        <w:t> </w:t>
      </w:r>
    </w:p>
    <w:p w14:paraId="627C8748"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E5EC553"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For the purposes of this Agreement, the following definitions shall apply:  </w:t>
      </w:r>
    </w:p>
    <w:p w14:paraId="74C4D7C4"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3E96798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IACHR or Inter-American Commission:</w:t>
      </w:r>
      <w:r w:rsidRPr="00B265F3">
        <w:rPr>
          <w:rFonts w:ascii="Cambria" w:hAnsi="Cambria"/>
          <w:b/>
          <w:color w:val="000000"/>
          <w:sz w:val="20"/>
        </w:rPr>
        <w:t xml:space="preserve"> </w:t>
      </w:r>
      <w:r w:rsidRPr="00B265F3">
        <w:rPr>
          <w:rFonts w:ascii="Cambria" w:hAnsi="Cambria"/>
          <w:color w:val="000000"/>
          <w:sz w:val="20"/>
        </w:rPr>
        <w:t>Inter-American Commission on Human Rights. </w:t>
      </w:r>
    </w:p>
    <w:p w14:paraId="2DC03B15"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2A759B7" w14:textId="08C544A1"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Moral damages:</w:t>
      </w:r>
      <w:r w:rsidRPr="00B265F3">
        <w:rPr>
          <w:rFonts w:ascii="Cambria" w:hAnsi="Cambria"/>
          <w:b/>
          <w:color w:val="000000"/>
          <w:sz w:val="20"/>
        </w:rPr>
        <w:t xml:space="preserve"> </w:t>
      </w:r>
      <w:r w:rsidR="00D113FD" w:rsidRPr="00B265F3">
        <w:rPr>
          <w:rFonts w:ascii="Cambria" w:hAnsi="Cambria"/>
          <w:color w:val="000000"/>
          <w:sz w:val="20"/>
        </w:rPr>
        <w:t>I</w:t>
      </w:r>
      <w:r w:rsidRPr="00B265F3">
        <w:rPr>
          <w:rFonts w:ascii="Cambria" w:hAnsi="Cambria"/>
          <w:color w:val="000000"/>
          <w:sz w:val="20"/>
        </w:rPr>
        <w:t xml:space="preserve">njurious effects of the facts of the case that </w:t>
      </w:r>
      <w:r w:rsidR="00D113FD" w:rsidRPr="00B265F3">
        <w:rPr>
          <w:rFonts w:ascii="Cambria" w:hAnsi="Cambria"/>
          <w:color w:val="000000"/>
          <w:sz w:val="20"/>
        </w:rPr>
        <w:t xml:space="preserve">are not of an economic or financial nature, which </w:t>
      </w:r>
      <w:proofErr w:type="gramStart"/>
      <w:r w:rsidR="00D113FD" w:rsidRPr="00B265F3">
        <w:rPr>
          <w:rFonts w:ascii="Cambria" w:hAnsi="Cambria"/>
          <w:color w:val="000000"/>
          <w:sz w:val="20"/>
        </w:rPr>
        <w:t>manifested  through</w:t>
      </w:r>
      <w:proofErr w:type="gramEnd"/>
      <w:r w:rsidR="00D113FD" w:rsidRPr="00B265F3">
        <w:rPr>
          <w:rFonts w:ascii="Cambria" w:hAnsi="Cambria"/>
          <w:color w:val="000000"/>
          <w:sz w:val="20"/>
        </w:rPr>
        <w:t xml:space="preserve">  the </w:t>
      </w:r>
      <w:r w:rsidRPr="00B265F3">
        <w:rPr>
          <w:rFonts w:ascii="Cambria" w:hAnsi="Cambria"/>
          <w:color w:val="000000"/>
          <w:sz w:val="20"/>
        </w:rPr>
        <w:t>pain, affliction, sadness, distress, and anxiety of the victims. </w:t>
      </w:r>
    </w:p>
    <w:p w14:paraId="29298717"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39304D61"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Material damage:</w:t>
      </w:r>
      <w:r w:rsidRPr="00B265F3">
        <w:rPr>
          <w:rFonts w:ascii="Cambria" w:hAnsi="Cambria"/>
          <w:color w:val="000000"/>
          <w:sz w:val="20"/>
        </w:rPr>
        <w:t xml:space="preserve"> Involves the loss or detriment of the victim's income, expenses incurred as a result of the facts, and the consequences of a pecuniary nature that have a causal link to the facts of the case</w:t>
      </w:r>
      <w:r w:rsidRPr="00B265F3">
        <w:rPr>
          <w:rStyle w:val="FootnoteReference"/>
          <w:rFonts w:ascii="Cambria" w:eastAsia="Times New Roman" w:hAnsi="Cambria" w:cs="Segoe UI"/>
          <w:color w:val="000000"/>
          <w:sz w:val="20"/>
          <w:szCs w:val="20"/>
          <w:lang w:val="es-CO"/>
        </w:rPr>
        <w:footnoteReference w:id="3"/>
      </w:r>
      <w:r w:rsidRPr="00B265F3">
        <w:rPr>
          <w:rFonts w:ascii="Cambria" w:hAnsi="Cambria"/>
          <w:color w:val="000000"/>
          <w:sz w:val="20"/>
        </w:rPr>
        <w:t>.  </w:t>
      </w:r>
    </w:p>
    <w:p w14:paraId="0D155BC8"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076EBD75"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Non-material damage:</w:t>
      </w:r>
      <w:r w:rsidRPr="00B265F3">
        <w:rPr>
          <w:rFonts w:ascii="Cambria" w:hAnsi="Cambria"/>
          <w:b/>
          <w:color w:val="000000"/>
          <w:sz w:val="20"/>
        </w:rPr>
        <w:t xml:space="preserve"> </w:t>
      </w:r>
      <w:r w:rsidRPr="00B265F3">
        <w:rPr>
          <w:rFonts w:ascii="Cambria" w:hAnsi="Cambria"/>
          <w:color w:val="000000"/>
          <w:sz w:val="20"/>
        </w:rPr>
        <w:t>Includes both the suffering and affliction caused to the victims, the impairment of values of great importance to the persons concerned, as well as alterations, of a non-pecuniary nature, in the living conditions of the victim or his family</w:t>
      </w:r>
      <w:r w:rsidRPr="00B265F3">
        <w:rPr>
          <w:rStyle w:val="FootnoteReference"/>
          <w:rFonts w:ascii="Cambria" w:eastAsia="Times New Roman" w:hAnsi="Cambria" w:cs="Segoe UI"/>
          <w:color w:val="000000"/>
          <w:sz w:val="20"/>
          <w:szCs w:val="20"/>
          <w:lang w:val="es-CO"/>
        </w:rPr>
        <w:footnoteReference w:id="4"/>
      </w:r>
      <w:r w:rsidRPr="00B265F3">
        <w:rPr>
          <w:rFonts w:ascii="Cambria" w:hAnsi="Cambria"/>
          <w:color w:val="000000"/>
          <w:sz w:val="20"/>
        </w:rPr>
        <w:t>. </w:t>
      </w:r>
    </w:p>
    <w:p w14:paraId="3E66F504"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0ED2672F"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State or Colombian State:</w:t>
      </w:r>
      <w:r w:rsidRPr="00B265F3">
        <w:rPr>
          <w:rFonts w:ascii="Cambria" w:hAnsi="Cambria"/>
          <w:b/>
          <w:color w:val="000000"/>
          <w:sz w:val="20"/>
        </w:rPr>
        <w:t xml:space="preserve"> </w:t>
      </w:r>
      <w:r w:rsidRPr="00B265F3">
        <w:rPr>
          <w:rFonts w:ascii="Cambria" w:hAnsi="Cambria"/>
          <w:color w:val="000000"/>
          <w:sz w:val="20"/>
        </w:rPr>
        <w:t>In accordance with Public International Law, it shall be understood to be the signatory of the American Convention on Human Rights, hereinafter "American Convention" or "ACHR". </w:t>
      </w:r>
    </w:p>
    <w:p w14:paraId="38CD298D"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31BFD7E5" w14:textId="2C9E804B"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Satisfaction measures:</w:t>
      </w:r>
      <w:r w:rsidRPr="00B265F3">
        <w:rPr>
          <w:rFonts w:ascii="Cambria" w:hAnsi="Cambria"/>
          <w:b/>
          <w:color w:val="000000"/>
          <w:sz w:val="20"/>
        </w:rPr>
        <w:t xml:space="preserve"> </w:t>
      </w:r>
      <w:proofErr w:type="gramStart"/>
      <w:r w:rsidRPr="00B265F3">
        <w:rPr>
          <w:rFonts w:ascii="Cambria" w:hAnsi="Cambria"/>
          <w:color w:val="000000"/>
          <w:sz w:val="20"/>
        </w:rPr>
        <w:t>Non-pecuniary</w:t>
      </w:r>
      <w:proofErr w:type="gramEnd"/>
      <w:r w:rsidRPr="00B265F3">
        <w:rPr>
          <w:rFonts w:ascii="Cambria" w:hAnsi="Cambria"/>
          <w:color w:val="000000"/>
          <w:sz w:val="20"/>
        </w:rPr>
        <w:t xml:space="preserve"> measures </w:t>
      </w:r>
      <w:r w:rsidR="00D113FD" w:rsidRPr="00B265F3">
        <w:rPr>
          <w:rFonts w:ascii="Cambria" w:hAnsi="Cambria"/>
          <w:color w:val="000000"/>
          <w:sz w:val="20"/>
        </w:rPr>
        <w:t xml:space="preserve">whose purpose is </w:t>
      </w:r>
      <w:r w:rsidRPr="00B265F3">
        <w:rPr>
          <w:rFonts w:ascii="Cambria" w:hAnsi="Cambria"/>
          <w:color w:val="000000"/>
          <w:sz w:val="20"/>
        </w:rPr>
        <w:t xml:space="preserve">to ensure the recovery of the victims from the harm </w:t>
      </w:r>
      <w:r w:rsidR="00D113FD" w:rsidRPr="00B265F3">
        <w:rPr>
          <w:rFonts w:ascii="Cambria" w:hAnsi="Cambria"/>
          <w:color w:val="000000"/>
          <w:sz w:val="20"/>
        </w:rPr>
        <w:t xml:space="preserve">that has been </w:t>
      </w:r>
      <w:r w:rsidRPr="00B265F3">
        <w:rPr>
          <w:rFonts w:ascii="Cambria" w:hAnsi="Cambria"/>
          <w:color w:val="000000"/>
          <w:sz w:val="20"/>
        </w:rPr>
        <w:t xml:space="preserve">caused to them. </w:t>
      </w:r>
      <w:r w:rsidR="00D113FD" w:rsidRPr="00B265F3">
        <w:rPr>
          <w:rFonts w:ascii="Cambria" w:hAnsi="Cambria"/>
          <w:color w:val="000000"/>
          <w:sz w:val="20"/>
        </w:rPr>
        <w:t>Some examples of these m</w:t>
      </w:r>
      <w:r w:rsidRPr="00B265F3">
        <w:rPr>
          <w:rFonts w:ascii="Cambria" w:hAnsi="Cambria"/>
          <w:color w:val="000000"/>
          <w:sz w:val="20"/>
        </w:rPr>
        <w:t xml:space="preserve">easures include: public </w:t>
      </w:r>
      <w:r w:rsidR="00D113FD" w:rsidRPr="00B265F3">
        <w:rPr>
          <w:rFonts w:ascii="Cambria" w:hAnsi="Cambria"/>
          <w:color w:val="000000"/>
          <w:sz w:val="20"/>
        </w:rPr>
        <w:t>ac</w:t>
      </w:r>
      <w:r w:rsidRPr="00B265F3">
        <w:rPr>
          <w:rFonts w:ascii="Cambria" w:hAnsi="Cambria"/>
          <w:color w:val="000000"/>
          <w:sz w:val="20"/>
        </w:rPr>
        <w:t>knowledge</w:t>
      </w:r>
      <w:r w:rsidR="00D113FD" w:rsidRPr="00B265F3">
        <w:rPr>
          <w:rFonts w:ascii="Cambria" w:hAnsi="Cambria"/>
          <w:color w:val="000000"/>
          <w:sz w:val="20"/>
        </w:rPr>
        <w:t>ment</w:t>
      </w:r>
      <w:r w:rsidRPr="00B265F3">
        <w:rPr>
          <w:rFonts w:ascii="Cambria" w:hAnsi="Cambria"/>
          <w:color w:val="000000"/>
          <w:sz w:val="20"/>
        </w:rPr>
        <w:t xml:space="preserve"> of the truth and acts </w:t>
      </w:r>
      <w:r w:rsidR="00D113FD" w:rsidRPr="00B265F3">
        <w:rPr>
          <w:rFonts w:ascii="Cambria" w:hAnsi="Cambria"/>
          <w:color w:val="000000"/>
          <w:sz w:val="20"/>
        </w:rPr>
        <w:t>to make</w:t>
      </w:r>
      <w:r w:rsidRPr="00B265F3">
        <w:rPr>
          <w:rFonts w:ascii="Cambria" w:hAnsi="Cambria"/>
          <w:color w:val="000000"/>
          <w:sz w:val="20"/>
        </w:rPr>
        <w:t xml:space="preserve"> </w:t>
      </w:r>
      <w:r w:rsidR="00D113FD" w:rsidRPr="00B265F3">
        <w:rPr>
          <w:rFonts w:ascii="Cambria" w:hAnsi="Cambria"/>
          <w:color w:val="000000"/>
          <w:sz w:val="20"/>
        </w:rPr>
        <w:t>amends</w:t>
      </w:r>
      <w:r w:rsidRPr="00B265F3">
        <w:rPr>
          <w:rFonts w:ascii="Cambria" w:hAnsi="Cambria"/>
          <w:color w:val="000000"/>
          <w:sz w:val="20"/>
        </w:rPr>
        <w:t>. </w:t>
      </w:r>
    </w:p>
    <w:p w14:paraId="27CA4595"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15DC335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Parties:</w:t>
      </w:r>
      <w:r w:rsidRPr="00B265F3">
        <w:rPr>
          <w:rFonts w:ascii="Cambria" w:hAnsi="Cambria"/>
          <w:b/>
          <w:color w:val="000000"/>
          <w:sz w:val="20"/>
        </w:rPr>
        <w:t xml:space="preserve"> </w:t>
      </w:r>
      <w:r w:rsidRPr="00B265F3">
        <w:rPr>
          <w:rFonts w:ascii="Cambria" w:hAnsi="Cambria"/>
          <w:color w:val="000000"/>
          <w:sz w:val="20"/>
        </w:rPr>
        <w:t>Colombian State, petitioners, and relatives of the victims.  </w:t>
      </w:r>
    </w:p>
    <w:p w14:paraId="3BAAF5D0"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28A4F88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Acknowledgement of responsibility:</w:t>
      </w:r>
      <w:r w:rsidRPr="00B265F3">
        <w:rPr>
          <w:rFonts w:ascii="Cambria" w:hAnsi="Cambria"/>
          <w:b/>
          <w:color w:val="000000"/>
          <w:sz w:val="20"/>
        </w:rPr>
        <w:t xml:space="preserve"> </w:t>
      </w:r>
      <w:r w:rsidRPr="00B265F3">
        <w:rPr>
          <w:rFonts w:ascii="Cambria" w:hAnsi="Cambria"/>
          <w:color w:val="000000"/>
          <w:sz w:val="20"/>
        </w:rPr>
        <w:t>Acceptance of the facts and human rights violations attributed to the State. </w:t>
      </w:r>
    </w:p>
    <w:p w14:paraId="5BDFA704"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p>
    <w:p w14:paraId="2E1718F9" w14:textId="57AC9B48"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color w:val="000000"/>
          <w:sz w:val="20"/>
          <w:u w:val="single"/>
        </w:rPr>
        <w:t>Comprehensive reparation:</w:t>
      </w:r>
      <w:r w:rsidRPr="00B265F3">
        <w:rPr>
          <w:rFonts w:ascii="Cambria" w:hAnsi="Cambria"/>
          <w:b/>
          <w:color w:val="000000"/>
          <w:sz w:val="20"/>
        </w:rPr>
        <w:t xml:space="preserve"> </w:t>
      </w:r>
      <w:r w:rsidRPr="00B265F3">
        <w:rPr>
          <w:rFonts w:ascii="Cambria" w:hAnsi="Cambria"/>
          <w:color w:val="000000"/>
          <w:sz w:val="20"/>
        </w:rPr>
        <w:t xml:space="preserve">All those measures </w:t>
      </w:r>
      <w:r w:rsidR="00D113FD" w:rsidRPr="00B265F3">
        <w:rPr>
          <w:rFonts w:ascii="Cambria" w:hAnsi="Cambria"/>
          <w:color w:val="000000"/>
          <w:sz w:val="20"/>
        </w:rPr>
        <w:t xml:space="preserve">which </w:t>
      </w:r>
      <w:r w:rsidRPr="00B265F3">
        <w:rPr>
          <w:rFonts w:ascii="Cambria" w:hAnsi="Cambria"/>
          <w:color w:val="000000"/>
          <w:sz w:val="20"/>
        </w:rPr>
        <w:t>objectively and symbolically restore the victim to the state prior to the infliction of the damage. </w:t>
      </w:r>
    </w:p>
    <w:p w14:paraId="4725DE1A"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12C65687" w14:textId="56724589"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sz w:val="20"/>
          <w:u w:val="single"/>
        </w:rPr>
        <w:t>Petitioners:</w:t>
      </w:r>
      <w:r w:rsidRPr="00B265F3">
        <w:rPr>
          <w:rFonts w:ascii="Cambria" w:hAnsi="Cambria"/>
          <w:b/>
          <w:sz w:val="20"/>
        </w:rPr>
        <w:t xml:space="preserve"> </w:t>
      </w:r>
      <w:r w:rsidRPr="00B265F3">
        <w:rPr>
          <w:rFonts w:ascii="Cambria" w:hAnsi="Cambria"/>
          <w:sz w:val="20"/>
        </w:rPr>
        <w:t xml:space="preserve">The law firm Castillo Racines Consultores S.A.S., acting as representatives of the victims </w:t>
      </w:r>
      <w:r w:rsidR="00D113FD" w:rsidRPr="00B265F3">
        <w:rPr>
          <w:rFonts w:ascii="Cambria" w:hAnsi="Cambria"/>
          <w:sz w:val="20"/>
        </w:rPr>
        <w:t>with</w:t>
      </w:r>
      <w:r w:rsidRPr="00B265F3">
        <w:rPr>
          <w:rFonts w:ascii="Cambria" w:hAnsi="Cambria"/>
          <w:sz w:val="20"/>
        </w:rPr>
        <w:t>in the international proceedings.  </w:t>
      </w:r>
    </w:p>
    <w:p w14:paraId="5DF22CA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sz w:val="20"/>
        </w:rPr>
        <w:t> </w:t>
      </w:r>
    </w:p>
    <w:p w14:paraId="2EA87BBB" w14:textId="106EA799"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b/>
          <w:sz w:val="20"/>
          <w:u w:val="single"/>
        </w:rPr>
        <w:t>Friendly Settlement:</w:t>
      </w:r>
      <w:r w:rsidRPr="00B265F3">
        <w:rPr>
          <w:rFonts w:ascii="Cambria" w:hAnsi="Cambria"/>
          <w:b/>
          <w:sz w:val="20"/>
        </w:rPr>
        <w:t xml:space="preserve"> </w:t>
      </w:r>
      <w:r w:rsidRPr="00B265F3">
        <w:rPr>
          <w:rFonts w:ascii="Cambria" w:hAnsi="Cambria"/>
          <w:sz w:val="20"/>
        </w:rPr>
        <w:t xml:space="preserve">Alternative dispute resolution mechanism used for </w:t>
      </w:r>
      <w:r w:rsidR="00D113FD" w:rsidRPr="00B265F3">
        <w:rPr>
          <w:rFonts w:ascii="Cambria" w:hAnsi="Cambria"/>
          <w:sz w:val="20"/>
        </w:rPr>
        <w:t xml:space="preserve">the </w:t>
      </w:r>
      <w:r w:rsidRPr="00B265F3">
        <w:rPr>
          <w:rFonts w:ascii="Cambria" w:hAnsi="Cambria"/>
          <w:sz w:val="20"/>
        </w:rPr>
        <w:t>peaceful and consensual settlement before the Inter-American Commission. </w:t>
      </w:r>
    </w:p>
    <w:p w14:paraId="109F8616"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sz w:val="20"/>
        </w:rPr>
        <w:t> </w:t>
      </w:r>
    </w:p>
    <w:p w14:paraId="52E7A29A" w14:textId="0B2DF995" w:rsidR="00D96EC6" w:rsidRPr="00B265F3" w:rsidRDefault="00D96EC6" w:rsidP="00D96EC6">
      <w:pPr>
        <w:ind w:left="720" w:right="720"/>
        <w:jc w:val="both"/>
        <w:textAlignment w:val="baseline"/>
        <w:rPr>
          <w:rFonts w:ascii="Cambria" w:eastAsia="Times New Roman" w:hAnsi="Cambria" w:cs="Segoe UI"/>
          <w:sz w:val="20"/>
          <w:szCs w:val="20"/>
        </w:rPr>
      </w:pPr>
      <w:r w:rsidRPr="00B265F3">
        <w:rPr>
          <w:rFonts w:ascii="Cambria" w:hAnsi="Cambria"/>
          <w:b/>
          <w:sz w:val="20"/>
          <w:u w:val="single"/>
        </w:rPr>
        <w:t>Victims:</w:t>
      </w:r>
      <w:r w:rsidRPr="00B265F3">
        <w:rPr>
          <w:rFonts w:ascii="Cambria" w:hAnsi="Cambria"/>
          <w:b/>
          <w:sz w:val="20"/>
        </w:rPr>
        <w:t xml:space="preserve"> </w:t>
      </w:r>
      <w:r w:rsidRPr="00B265F3">
        <w:rPr>
          <w:rFonts w:ascii="Cambria" w:hAnsi="Cambria"/>
          <w:sz w:val="20"/>
        </w:rPr>
        <w:t>The relatives of Mr. Luis Gerardo Toro Jiménez, José Davidson Toro Ortiz, Robinson de Jesús Agudelo Toro, and Luis Gonzaga Toro Arcila</w:t>
      </w:r>
      <w:r w:rsidR="00D113FD" w:rsidRPr="00B265F3">
        <w:rPr>
          <w:rFonts w:ascii="Cambria" w:hAnsi="Cambria"/>
          <w:sz w:val="20"/>
        </w:rPr>
        <w:t>,</w:t>
      </w:r>
      <w:r w:rsidRPr="00B265F3">
        <w:rPr>
          <w:rFonts w:ascii="Cambria" w:hAnsi="Cambria"/>
          <w:sz w:val="20"/>
        </w:rPr>
        <w:t xml:space="preserve"> included in this Agreement.  </w:t>
      </w:r>
    </w:p>
    <w:p w14:paraId="1B55D905"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color w:val="000000"/>
          <w:sz w:val="20"/>
        </w:rPr>
        <w:t> </w:t>
      </w:r>
    </w:p>
    <w:p w14:paraId="117DE341" w14:textId="77777777" w:rsidR="00C055CE" w:rsidRDefault="00C055CE" w:rsidP="00D96EC6">
      <w:pPr>
        <w:ind w:left="720" w:right="720"/>
        <w:jc w:val="center"/>
        <w:textAlignment w:val="baseline"/>
        <w:rPr>
          <w:rFonts w:ascii="Cambria" w:hAnsi="Cambria"/>
          <w:b/>
          <w:color w:val="000000"/>
          <w:sz w:val="20"/>
        </w:rPr>
      </w:pPr>
    </w:p>
    <w:p w14:paraId="5214F8E3" w14:textId="77777777" w:rsidR="00C055CE" w:rsidRDefault="00C055CE" w:rsidP="00D96EC6">
      <w:pPr>
        <w:ind w:left="720" w:right="720"/>
        <w:jc w:val="center"/>
        <w:textAlignment w:val="baseline"/>
        <w:rPr>
          <w:rFonts w:ascii="Cambria" w:hAnsi="Cambria"/>
          <w:b/>
          <w:color w:val="000000"/>
          <w:sz w:val="20"/>
        </w:rPr>
      </w:pPr>
    </w:p>
    <w:p w14:paraId="66261A0F" w14:textId="77777777" w:rsidR="00C055CE" w:rsidRDefault="00C055CE" w:rsidP="00D96EC6">
      <w:pPr>
        <w:ind w:left="720" w:right="720"/>
        <w:jc w:val="center"/>
        <w:textAlignment w:val="baseline"/>
        <w:rPr>
          <w:rFonts w:ascii="Cambria" w:hAnsi="Cambria"/>
          <w:b/>
          <w:color w:val="000000"/>
          <w:sz w:val="20"/>
        </w:rPr>
      </w:pPr>
    </w:p>
    <w:p w14:paraId="68AB6473" w14:textId="77777777" w:rsidR="00C055CE" w:rsidRDefault="00C055CE" w:rsidP="00D96EC6">
      <w:pPr>
        <w:ind w:left="720" w:right="720"/>
        <w:jc w:val="center"/>
        <w:textAlignment w:val="baseline"/>
        <w:rPr>
          <w:rFonts w:ascii="Cambria" w:hAnsi="Cambria"/>
          <w:b/>
          <w:color w:val="000000"/>
          <w:sz w:val="20"/>
        </w:rPr>
      </w:pPr>
    </w:p>
    <w:p w14:paraId="41F148E9" w14:textId="77777777" w:rsidR="00C055CE" w:rsidRDefault="00C055CE" w:rsidP="00D96EC6">
      <w:pPr>
        <w:ind w:left="720" w:right="720"/>
        <w:jc w:val="center"/>
        <w:textAlignment w:val="baseline"/>
        <w:rPr>
          <w:rFonts w:ascii="Cambria" w:hAnsi="Cambria"/>
          <w:b/>
          <w:color w:val="000000"/>
          <w:sz w:val="20"/>
        </w:rPr>
      </w:pPr>
    </w:p>
    <w:p w14:paraId="35A38645" w14:textId="77777777" w:rsidR="00C055CE" w:rsidRDefault="00C055CE" w:rsidP="00D96EC6">
      <w:pPr>
        <w:ind w:left="720" w:right="720"/>
        <w:jc w:val="center"/>
        <w:textAlignment w:val="baseline"/>
        <w:rPr>
          <w:rFonts w:ascii="Cambria" w:hAnsi="Cambria"/>
          <w:b/>
          <w:color w:val="000000"/>
          <w:sz w:val="20"/>
        </w:rPr>
      </w:pPr>
    </w:p>
    <w:p w14:paraId="3159A6A2" w14:textId="77777777" w:rsidR="00C055CE" w:rsidRDefault="00C055CE" w:rsidP="00D96EC6">
      <w:pPr>
        <w:ind w:left="720" w:right="720"/>
        <w:jc w:val="center"/>
        <w:textAlignment w:val="baseline"/>
        <w:rPr>
          <w:rFonts w:ascii="Cambria" w:hAnsi="Cambria"/>
          <w:b/>
          <w:color w:val="000000"/>
          <w:sz w:val="20"/>
        </w:rPr>
      </w:pPr>
    </w:p>
    <w:p w14:paraId="40197338" w14:textId="77777777" w:rsidR="00C055CE" w:rsidRDefault="00C055CE" w:rsidP="00D96EC6">
      <w:pPr>
        <w:ind w:left="720" w:right="720"/>
        <w:jc w:val="center"/>
        <w:textAlignment w:val="baseline"/>
        <w:rPr>
          <w:rFonts w:ascii="Cambria" w:hAnsi="Cambria"/>
          <w:b/>
          <w:color w:val="000000"/>
          <w:sz w:val="20"/>
        </w:rPr>
      </w:pPr>
    </w:p>
    <w:p w14:paraId="47735DF2" w14:textId="575A591C"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lastRenderedPageBreak/>
        <w:t>PART TWO: BACKGROUND</w:t>
      </w:r>
      <w:r w:rsidRPr="00B265F3">
        <w:rPr>
          <w:rFonts w:ascii="Cambria" w:hAnsi="Cambria"/>
          <w:color w:val="000000"/>
          <w:sz w:val="20"/>
        </w:rPr>
        <w:t> </w:t>
      </w:r>
    </w:p>
    <w:p w14:paraId="2FE7F18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p>
    <w:p w14:paraId="702A3929" w14:textId="13CDF16D" w:rsidR="00D96EC6" w:rsidRPr="00B265F3" w:rsidRDefault="00D113FD" w:rsidP="00D96EC6">
      <w:pPr>
        <w:ind w:right="720" w:firstLine="720"/>
        <w:jc w:val="center"/>
        <w:textAlignment w:val="baseline"/>
        <w:rPr>
          <w:rFonts w:ascii="Cambria" w:eastAsia="Times New Roman" w:hAnsi="Cambria" w:cs="Segoe UI"/>
          <w:color w:val="000000"/>
          <w:sz w:val="20"/>
          <w:szCs w:val="20"/>
        </w:rPr>
      </w:pPr>
      <w:r w:rsidRPr="00B265F3">
        <w:rPr>
          <w:rFonts w:ascii="Cambria" w:hAnsi="Cambria"/>
          <w:b/>
          <w:color w:val="000000"/>
          <w:sz w:val="20"/>
        </w:rPr>
        <w:t>BEFORE</w:t>
      </w:r>
      <w:r w:rsidR="00D96EC6" w:rsidRPr="00B265F3">
        <w:rPr>
          <w:rFonts w:ascii="Cambria" w:hAnsi="Cambria"/>
          <w:b/>
          <w:color w:val="000000"/>
          <w:sz w:val="20"/>
        </w:rPr>
        <w:t xml:space="preserve"> THE INTER-AMERICAN HUMAN RIGHTS SYSTEM</w:t>
      </w:r>
    </w:p>
    <w:p w14:paraId="1EDFC7A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p>
    <w:p w14:paraId="09FBA2A6" w14:textId="5EB39506" w:rsidR="00D96EC6" w:rsidRPr="00B265F3" w:rsidRDefault="00D96EC6" w:rsidP="002341A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On July 12, 2007, the Inter-American Commission received</w:t>
      </w:r>
      <w:r w:rsidRPr="00B265F3">
        <w:rPr>
          <w:rStyle w:val="FootnoteReference"/>
          <w:rFonts w:ascii="Cambria" w:eastAsia="Times New Roman" w:hAnsi="Cambria" w:cs="Segoe UI"/>
          <w:sz w:val="20"/>
          <w:szCs w:val="20"/>
          <w:lang w:val="es-ES"/>
        </w:rPr>
        <w:footnoteReference w:id="5"/>
      </w:r>
      <w:r w:rsidRPr="00B265F3">
        <w:rPr>
          <w:rFonts w:ascii="Cambria" w:hAnsi="Cambria"/>
          <w:sz w:val="20"/>
        </w:rPr>
        <w:t xml:space="preserve"> a petition filed by Mr. Julián Alberto Toro Ortiz on behalf of himself and his family,</w:t>
      </w:r>
      <w:r w:rsidRPr="00B265F3">
        <w:rPr>
          <w:rStyle w:val="FootnoteReference"/>
          <w:rFonts w:ascii="Cambria" w:eastAsia="Times New Roman" w:hAnsi="Cambria" w:cs="Segoe UI"/>
          <w:sz w:val="20"/>
          <w:szCs w:val="20"/>
          <w:lang w:val="es-ES"/>
        </w:rPr>
        <w:footnoteReference w:id="6"/>
      </w:r>
      <w:r w:rsidR="00D113FD" w:rsidRPr="00B265F3">
        <w:rPr>
          <w:rFonts w:ascii="Cambria" w:hAnsi="Cambria"/>
          <w:sz w:val="20"/>
        </w:rPr>
        <w:t xml:space="preserve"> for</w:t>
      </w:r>
      <w:r w:rsidRPr="00B265F3">
        <w:rPr>
          <w:rFonts w:ascii="Cambria" w:hAnsi="Cambria"/>
          <w:sz w:val="20"/>
        </w:rPr>
        <w:t xml:space="preserve"> the murders of his father, Luis Gerardo Toro Jiménez, his brother, José Davison Toro Ortiz, and his cousins, Robinson de Jesús Agudelo Toro and Luis Gonzaga Toro Arcila, which occurred between 1982 and 2006. </w:t>
      </w:r>
    </w:p>
    <w:p w14:paraId="159B5E46" w14:textId="77777777" w:rsidR="00D96EC6" w:rsidRPr="00B265F3" w:rsidRDefault="00D96EC6" w:rsidP="00D96EC6">
      <w:pPr>
        <w:ind w:left="720" w:right="720"/>
        <w:jc w:val="both"/>
        <w:textAlignment w:val="baseline"/>
        <w:rPr>
          <w:rFonts w:ascii="Cambria" w:eastAsia="Times New Roman" w:hAnsi="Cambria" w:cs="Segoe UI"/>
          <w:sz w:val="20"/>
          <w:szCs w:val="20"/>
        </w:rPr>
      </w:pPr>
      <w:r w:rsidRPr="00B265F3">
        <w:rPr>
          <w:rFonts w:ascii="Cambria" w:hAnsi="Cambria"/>
          <w:sz w:val="20"/>
        </w:rPr>
        <w:t> </w:t>
      </w:r>
    </w:p>
    <w:p w14:paraId="047C5E1A" w14:textId="48D5DBED" w:rsidR="00D96EC6" w:rsidRPr="00B265F3" w:rsidRDefault="00D96EC6" w:rsidP="002341A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 xml:space="preserve">In the initial petition, Mr. Julián Alberto Toro Ortiz states that on July 21, 1982, his father, Mr. Luis Fernando Toro, who worked as a security guard for the Municipal Mayor's Office of </w:t>
      </w:r>
      <w:proofErr w:type="spellStart"/>
      <w:r w:rsidRPr="00B265F3">
        <w:rPr>
          <w:rFonts w:ascii="Cambria" w:hAnsi="Cambria"/>
          <w:sz w:val="20"/>
        </w:rPr>
        <w:t>Ansermanuevo</w:t>
      </w:r>
      <w:proofErr w:type="spellEnd"/>
      <w:r w:rsidRPr="00B265F3">
        <w:rPr>
          <w:rFonts w:ascii="Cambria" w:hAnsi="Cambria"/>
          <w:sz w:val="20"/>
        </w:rPr>
        <w:t xml:space="preserve"> in Valle del Cauca, was murdered by two hired killers </w:t>
      </w:r>
      <w:r w:rsidR="00D113FD" w:rsidRPr="00B265F3">
        <w:rPr>
          <w:rFonts w:ascii="Cambria" w:hAnsi="Cambria"/>
          <w:sz w:val="20"/>
        </w:rPr>
        <w:t>part of</w:t>
      </w:r>
      <w:r w:rsidRPr="00B265F3">
        <w:rPr>
          <w:rFonts w:ascii="Cambria" w:hAnsi="Cambria"/>
          <w:sz w:val="20"/>
        </w:rPr>
        <w:t xml:space="preserve"> the Valle Cartel</w:t>
      </w:r>
      <w:r w:rsidR="00815495">
        <w:rPr>
          <w:rFonts w:ascii="Cambria" w:hAnsi="Cambria"/>
          <w:sz w:val="20"/>
        </w:rPr>
        <w:t>.</w:t>
      </w:r>
      <w:r w:rsidRPr="00B265F3">
        <w:rPr>
          <w:rStyle w:val="FootnoteReference"/>
          <w:rFonts w:ascii="Cambria" w:eastAsia="Times New Roman" w:hAnsi="Cambria" w:cs="Segoe UI"/>
          <w:sz w:val="20"/>
          <w:szCs w:val="20"/>
          <w:lang w:val="es-CO"/>
        </w:rPr>
        <w:footnoteReference w:id="7"/>
      </w:r>
      <w:r w:rsidRPr="00B265F3">
        <w:rPr>
          <w:rFonts w:ascii="Cambria" w:hAnsi="Cambria"/>
          <w:sz w:val="20"/>
        </w:rPr>
        <w:t xml:space="preserve"> Subsequently, on October 10, 2002</w:t>
      </w:r>
      <w:r w:rsidRPr="00B265F3">
        <w:rPr>
          <w:rStyle w:val="FootnoteReference"/>
          <w:rFonts w:ascii="Cambria" w:eastAsia="Times New Roman" w:hAnsi="Cambria" w:cs="Segoe UI"/>
          <w:sz w:val="20"/>
          <w:szCs w:val="20"/>
          <w:lang w:val="es-CO"/>
        </w:rPr>
        <w:footnoteReference w:id="8"/>
      </w:r>
      <w:r w:rsidRPr="00B265F3">
        <w:rPr>
          <w:rFonts w:ascii="Cambria" w:hAnsi="Cambria"/>
          <w:sz w:val="20"/>
        </w:rPr>
        <w:t xml:space="preserve">, in the Municipality of El Cairo, Valle, his cousin Robinson de Jesús Agudelo Toro was murdered, in acts allegedly attributable to members of the </w:t>
      </w:r>
      <w:proofErr w:type="spellStart"/>
      <w:r w:rsidRPr="00B265F3">
        <w:rPr>
          <w:rFonts w:ascii="Cambria" w:hAnsi="Cambria"/>
          <w:sz w:val="20"/>
        </w:rPr>
        <w:t>Calima</w:t>
      </w:r>
      <w:proofErr w:type="spellEnd"/>
      <w:r w:rsidRPr="00B265F3">
        <w:rPr>
          <w:rFonts w:ascii="Cambria" w:hAnsi="Cambria"/>
          <w:sz w:val="20"/>
        </w:rPr>
        <w:t xml:space="preserve"> Bloc of the United Self-Defense Forces of Colombia under the sponsorship of the Valle Cartel</w:t>
      </w:r>
      <w:r w:rsidR="00037D56">
        <w:rPr>
          <w:rFonts w:ascii="Cambria" w:hAnsi="Cambria"/>
          <w:sz w:val="20"/>
        </w:rPr>
        <w:t>.</w:t>
      </w:r>
      <w:r w:rsidRPr="00B265F3">
        <w:rPr>
          <w:rStyle w:val="FootnoteReference"/>
          <w:rFonts w:ascii="Cambria" w:eastAsia="Times New Roman" w:hAnsi="Cambria" w:cs="Segoe UI"/>
          <w:sz w:val="20"/>
          <w:szCs w:val="20"/>
          <w:lang w:val="es-CO"/>
        </w:rPr>
        <w:footnoteReference w:id="9"/>
      </w:r>
      <w:r w:rsidRPr="00B265F3">
        <w:rPr>
          <w:rFonts w:ascii="Cambria" w:hAnsi="Cambria"/>
          <w:sz w:val="20"/>
        </w:rPr>
        <w:t>  </w:t>
      </w:r>
    </w:p>
    <w:p w14:paraId="3232C78A" w14:textId="77777777" w:rsidR="00D96EC6" w:rsidRPr="00B265F3" w:rsidRDefault="00D96EC6" w:rsidP="00D96EC6">
      <w:pPr>
        <w:ind w:left="720" w:right="720"/>
        <w:jc w:val="both"/>
        <w:textAlignment w:val="baseline"/>
        <w:rPr>
          <w:rFonts w:ascii="Cambria" w:eastAsia="Times New Roman" w:hAnsi="Cambria" w:cs="Segoe UI"/>
          <w:sz w:val="20"/>
          <w:szCs w:val="20"/>
        </w:rPr>
      </w:pPr>
      <w:r w:rsidRPr="00B265F3">
        <w:rPr>
          <w:rFonts w:ascii="Cambria" w:hAnsi="Cambria"/>
          <w:sz w:val="20"/>
        </w:rPr>
        <w:t> </w:t>
      </w:r>
    </w:p>
    <w:p w14:paraId="611DC688" w14:textId="77777777" w:rsidR="00D96EC6" w:rsidRPr="00B265F3" w:rsidRDefault="00D96EC6" w:rsidP="002341A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On the other hand, Mr. Toro Ortiz states that on November 11, 2002</w:t>
      </w:r>
      <w:r w:rsidRPr="00B265F3">
        <w:rPr>
          <w:rStyle w:val="FootnoteReference"/>
          <w:rFonts w:ascii="Cambria" w:eastAsia="Times New Roman" w:hAnsi="Cambria" w:cs="Segoe UI"/>
          <w:sz w:val="20"/>
          <w:szCs w:val="20"/>
          <w:lang w:val="es-CO"/>
        </w:rPr>
        <w:footnoteReference w:id="10"/>
      </w:r>
      <w:r w:rsidRPr="00B265F3">
        <w:rPr>
          <w:rFonts w:ascii="Cambria" w:hAnsi="Cambria"/>
          <w:sz w:val="20"/>
        </w:rPr>
        <w:t xml:space="preserve"> in Cartago, Valle, his brother, Mr. José Davison Toro Ortiz was murdered on orders from the same, </w:t>
      </w:r>
      <w:proofErr w:type="gramStart"/>
      <w:r w:rsidRPr="00B265F3">
        <w:rPr>
          <w:rFonts w:ascii="Cambria" w:hAnsi="Cambria"/>
          <w:sz w:val="20"/>
        </w:rPr>
        <w:t>aforementioned criminal</w:t>
      </w:r>
      <w:proofErr w:type="gramEnd"/>
      <w:r w:rsidRPr="00B265F3">
        <w:rPr>
          <w:rFonts w:ascii="Cambria" w:hAnsi="Cambria"/>
          <w:sz w:val="20"/>
        </w:rPr>
        <w:t xml:space="preserve"> groups.</w:t>
      </w:r>
      <w:r w:rsidRPr="00B265F3">
        <w:rPr>
          <w:rStyle w:val="FootnoteReference"/>
          <w:rFonts w:ascii="Cambria" w:eastAsia="Times New Roman" w:hAnsi="Cambria" w:cs="Segoe UI"/>
          <w:sz w:val="20"/>
          <w:szCs w:val="20"/>
          <w:lang w:val="es-CO"/>
        </w:rPr>
        <w:footnoteReference w:id="11"/>
      </w:r>
      <w:r w:rsidRPr="00B265F3">
        <w:rPr>
          <w:rFonts w:ascii="Cambria" w:hAnsi="Cambria"/>
          <w:sz w:val="20"/>
        </w:rPr>
        <w:t> </w:t>
      </w:r>
    </w:p>
    <w:p w14:paraId="4E564199"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5E1F5D87" w14:textId="77777777" w:rsidR="00D96EC6" w:rsidRPr="00B265F3" w:rsidRDefault="00D96EC6" w:rsidP="002341A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Likewise, Admissibility Report No. 165/18 indicates that on April 26, 2006, Mr. Luis Gonzaga Toro Arcila, cousin of Mr. Julián Alberto Toro Ortiz,</w:t>
      </w:r>
      <w:r w:rsidRPr="00B265F3">
        <w:rPr>
          <w:rStyle w:val="FootnoteReference"/>
          <w:rFonts w:ascii="Cambria" w:eastAsia="Times New Roman" w:hAnsi="Cambria" w:cs="Segoe UI"/>
          <w:sz w:val="20"/>
          <w:szCs w:val="20"/>
          <w:lang w:val="es-CO"/>
        </w:rPr>
        <w:footnoteReference w:id="12"/>
      </w:r>
      <w:r w:rsidRPr="00B265F3">
        <w:rPr>
          <w:rFonts w:ascii="Cambria" w:hAnsi="Cambria"/>
          <w:sz w:val="20"/>
        </w:rPr>
        <w:t xml:space="preserve"> was found dead in the vicinity of the Municipality of Marsella, Department of Risaralda.  </w:t>
      </w:r>
    </w:p>
    <w:p w14:paraId="7453E0CD"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50E413BB" w14:textId="77777777" w:rsidR="00D96EC6" w:rsidRPr="00B265F3" w:rsidRDefault="00D96EC6" w:rsidP="002341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 xml:space="preserve">Mr. Julián Alberto Toro Ortiz affirms that, </w:t>
      </w:r>
      <w:proofErr w:type="gramStart"/>
      <w:r w:rsidRPr="00B265F3">
        <w:rPr>
          <w:rFonts w:ascii="Cambria" w:hAnsi="Cambria"/>
          <w:sz w:val="20"/>
        </w:rPr>
        <w:t>as a consequence of</w:t>
      </w:r>
      <w:proofErr w:type="gramEnd"/>
      <w:r w:rsidRPr="00B265F3">
        <w:rPr>
          <w:rFonts w:ascii="Cambria" w:hAnsi="Cambria"/>
          <w:sz w:val="20"/>
        </w:rPr>
        <w:t xml:space="preserve"> these events, the family members received various threats, which resulted in them being forced to move from their place of residence.</w:t>
      </w:r>
      <w:r w:rsidRPr="00B265F3">
        <w:rPr>
          <w:rStyle w:val="FootnoteReference"/>
          <w:rFonts w:ascii="Cambria" w:eastAsia="Times New Roman" w:hAnsi="Cambria" w:cs="Segoe UI"/>
          <w:sz w:val="20"/>
          <w:szCs w:val="20"/>
          <w:lang w:val="es-CO"/>
        </w:rPr>
        <w:footnoteReference w:id="13"/>
      </w:r>
      <w:r w:rsidRPr="00B265F3">
        <w:rPr>
          <w:rFonts w:ascii="Cambria" w:hAnsi="Cambria"/>
          <w:sz w:val="20"/>
        </w:rPr>
        <w:t>  </w:t>
      </w:r>
    </w:p>
    <w:p w14:paraId="58D5BF21"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1B1238CC" w14:textId="6979565B" w:rsidR="00D96EC6" w:rsidRPr="00B265F3" w:rsidRDefault="00D96EC6" w:rsidP="002341A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 xml:space="preserve">According to the international </w:t>
      </w:r>
      <w:r w:rsidR="00D113FD" w:rsidRPr="00B265F3">
        <w:rPr>
          <w:rFonts w:ascii="Cambria" w:hAnsi="Cambria"/>
          <w:sz w:val="20"/>
        </w:rPr>
        <w:t xml:space="preserve">case </w:t>
      </w:r>
      <w:r w:rsidRPr="00B265F3">
        <w:rPr>
          <w:rFonts w:ascii="Cambria" w:hAnsi="Cambria"/>
          <w:sz w:val="20"/>
        </w:rPr>
        <w:t>file, a criminal investigation was conducted into the facts related to the homicide of Mr. José Davison Toro Ortiz, under file No. 71680. This investigation ended with a decision to suspend investigation issued on August 21, 2012 by the Sixteenth (16) Sectional Prosecutor's Office before the Criminal Judges of the Circuit of Cartago, Valle. That decision is in effect given that no appeal was filed against it.</w:t>
      </w:r>
      <w:r w:rsidRPr="00B265F3">
        <w:rPr>
          <w:rStyle w:val="FootnoteReference"/>
          <w:rFonts w:ascii="Cambria" w:eastAsia="Times New Roman" w:hAnsi="Cambria" w:cs="Segoe UI"/>
          <w:sz w:val="20"/>
          <w:szCs w:val="20"/>
          <w:lang w:val="es-CO"/>
        </w:rPr>
        <w:footnoteReference w:id="14"/>
      </w:r>
      <w:r w:rsidRPr="00B265F3">
        <w:rPr>
          <w:rFonts w:ascii="Cambria" w:hAnsi="Cambria"/>
          <w:sz w:val="20"/>
        </w:rPr>
        <w:t>  </w:t>
      </w:r>
    </w:p>
    <w:p w14:paraId="25199B7D"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626ED8C9" w14:textId="77777777" w:rsidR="00D96EC6" w:rsidRPr="00B265F3" w:rsidRDefault="00D96EC6" w:rsidP="002341A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Likewise, in the case of the murder of Mr. Robinson de Jesús Agudelo Toro, a criminal investigation was initiated under file No. 121783, which is being handled, in the investigation stage, by the Eighth (8th) Specialized Prosecutor's Office attached to the Valle del Cauca Sectional Office.</w:t>
      </w:r>
      <w:r w:rsidRPr="00B265F3">
        <w:rPr>
          <w:rStyle w:val="FootnoteReference"/>
          <w:rFonts w:ascii="Cambria" w:eastAsia="Times New Roman" w:hAnsi="Cambria" w:cs="Segoe UI"/>
          <w:sz w:val="20"/>
          <w:szCs w:val="20"/>
          <w:lang w:val="es-CO"/>
        </w:rPr>
        <w:footnoteReference w:id="15"/>
      </w:r>
      <w:r w:rsidRPr="00B265F3">
        <w:rPr>
          <w:rFonts w:ascii="Cambria" w:hAnsi="Cambria"/>
          <w:sz w:val="20"/>
        </w:rPr>
        <w:t>  </w:t>
      </w:r>
    </w:p>
    <w:p w14:paraId="517F70B5"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lastRenderedPageBreak/>
        <w:t> </w:t>
      </w:r>
    </w:p>
    <w:p w14:paraId="2113B9DB" w14:textId="77777777" w:rsidR="00D96EC6" w:rsidRPr="00B265F3" w:rsidRDefault="00D96EC6" w:rsidP="002341A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Regarding Mr. Luis Gerardo Toro Jiménez and Mr. Luis Gonzaga Toro Arcila, no records were found in the Attorney General's Office regarding the investigations conducted into these homicides.</w:t>
      </w:r>
      <w:r w:rsidRPr="00B265F3">
        <w:rPr>
          <w:rStyle w:val="FootnoteReference"/>
          <w:rFonts w:ascii="Cambria" w:eastAsia="Times New Roman" w:hAnsi="Cambria" w:cs="Segoe UI"/>
          <w:sz w:val="20"/>
          <w:szCs w:val="20"/>
          <w:lang w:val="es-CO"/>
        </w:rPr>
        <w:footnoteReference w:id="16"/>
      </w:r>
      <w:r w:rsidRPr="00B265F3">
        <w:rPr>
          <w:rFonts w:ascii="Cambria" w:hAnsi="Cambria"/>
          <w:sz w:val="20"/>
        </w:rPr>
        <w:t>   </w:t>
      </w:r>
    </w:p>
    <w:p w14:paraId="0CCDC1D5"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4C91AF7E" w14:textId="77777777" w:rsidR="00D96EC6" w:rsidRPr="00B265F3" w:rsidRDefault="00D96EC6" w:rsidP="002341A5">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Finally, the Attorney General's Office indicated that regarding the crime of threats against Mr. Julián Alberto Toro Ortiz there had been an investigation that was archived in 2011 due to the impossibility of finding or establishing the perpetrator (</w:t>
      </w:r>
      <w:proofErr w:type="spellStart"/>
      <w:r w:rsidRPr="00B265F3">
        <w:rPr>
          <w:rFonts w:ascii="Cambria" w:hAnsi="Cambria"/>
          <w:i/>
          <w:iCs/>
          <w:sz w:val="20"/>
        </w:rPr>
        <w:t>sujeto</w:t>
      </w:r>
      <w:proofErr w:type="spellEnd"/>
      <w:r w:rsidRPr="00B265F3">
        <w:rPr>
          <w:rFonts w:ascii="Cambria" w:hAnsi="Cambria"/>
          <w:i/>
          <w:iCs/>
          <w:sz w:val="20"/>
        </w:rPr>
        <w:t xml:space="preserve"> </w:t>
      </w:r>
      <w:proofErr w:type="spellStart"/>
      <w:r w:rsidRPr="00B265F3">
        <w:rPr>
          <w:rFonts w:ascii="Cambria" w:hAnsi="Cambria"/>
          <w:i/>
          <w:iCs/>
          <w:sz w:val="20"/>
        </w:rPr>
        <w:t>activo</w:t>
      </w:r>
      <w:proofErr w:type="spellEnd"/>
      <w:r w:rsidRPr="00B265F3">
        <w:rPr>
          <w:rFonts w:ascii="Cambria" w:hAnsi="Cambria"/>
          <w:sz w:val="20"/>
        </w:rPr>
        <w:t>) of the threats.</w:t>
      </w:r>
      <w:r w:rsidRPr="00B265F3">
        <w:rPr>
          <w:rStyle w:val="FootnoteReference"/>
          <w:rFonts w:ascii="Cambria" w:eastAsia="Times New Roman" w:hAnsi="Cambria" w:cs="Segoe UI"/>
          <w:sz w:val="20"/>
          <w:szCs w:val="20"/>
          <w:lang w:val="es-CO"/>
        </w:rPr>
        <w:footnoteReference w:id="17"/>
      </w:r>
      <w:r w:rsidRPr="00B265F3">
        <w:rPr>
          <w:rFonts w:ascii="Cambria" w:hAnsi="Cambria"/>
          <w:sz w:val="20"/>
        </w:rPr>
        <w:t>  </w:t>
      </w:r>
    </w:p>
    <w:p w14:paraId="0C064793"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67F47ADD" w14:textId="4A262FE7" w:rsidR="00D96EC6" w:rsidRPr="00B265F3" w:rsidRDefault="00D96EC6" w:rsidP="002341A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In Report No. 165/18 of December 9, 2018, the Inter-American Commission declared the admissibility of the petition regarding the alleged violation of the rights recognized in Articles 4 (life), 5 (</w:t>
      </w:r>
      <w:r w:rsidR="00D113FD" w:rsidRPr="00B265F3">
        <w:rPr>
          <w:rFonts w:ascii="Cambria" w:hAnsi="Cambria"/>
          <w:sz w:val="20"/>
        </w:rPr>
        <w:t>humane treatment</w:t>
      </w:r>
      <w:r w:rsidRPr="00B265F3">
        <w:rPr>
          <w:rFonts w:ascii="Cambria" w:hAnsi="Cambria"/>
          <w:sz w:val="20"/>
        </w:rPr>
        <w:t>), 8 (</w:t>
      </w:r>
      <w:r w:rsidR="00D113FD" w:rsidRPr="00B265F3">
        <w:rPr>
          <w:rFonts w:ascii="Cambria" w:hAnsi="Cambria"/>
          <w:sz w:val="20"/>
        </w:rPr>
        <w:t>fair trial</w:t>
      </w:r>
      <w:r w:rsidRPr="00B265F3">
        <w:rPr>
          <w:rFonts w:ascii="Cambria" w:hAnsi="Cambria"/>
          <w:sz w:val="20"/>
        </w:rPr>
        <w:t>), 21 (right to private property), 22 (right to movement and residence), 25 (judicial protection), and 26 (progressive development), of the American Convention on Human Rights in conjunction with Article 1.1 (obligation to respect rights) of the same instrument. </w:t>
      </w:r>
    </w:p>
    <w:p w14:paraId="291A4D6C"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7118F99B" w14:textId="039FE50C" w:rsidR="00D96EC6" w:rsidRPr="00B265F3" w:rsidRDefault="00D96EC6" w:rsidP="002341A5">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 xml:space="preserve">The State informed the Inter-American Commission on Human Rights of its intention to initiate a friendly settlement process on September 13, 2021. On October 8, in a letter sent by e-mail, the petitioners expressed their willingness to </w:t>
      </w:r>
      <w:r w:rsidR="00D113FD" w:rsidRPr="00B265F3">
        <w:rPr>
          <w:rFonts w:ascii="Cambria" w:hAnsi="Cambria"/>
          <w:sz w:val="20"/>
        </w:rPr>
        <w:t xml:space="preserve">initiate </w:t>
      </w:r>
      <w:r w:rsidRPr="00B265F3">
        <w:rPr>
          <w:rFonts w:ascii="Cambria" w:hAnsi="Cambria"/>
          <w:sz w:val="20"/>
        </w:rPr>
        <w:t>this process. </w:t>
      </w:r>
    </w:p>
    <w:p w14:paraId="662C9330"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57177739" w14:textId="77777777" w:rsidR="00D96EC6" w:rsidRPr="00B265F3" w:rsidRDefault="00D96EC6" w:rsidP="002341A5">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On November 18, 2021, the Colombian State and the petitioners signed a Memorandum of Understanding for the Search for a Friendly Settlement, which was brought to the attention of the Inter-American Commission on November 19, 2021.  </w:t>
      </w:r>
    </w:p>
    <w:p w14:paraId="3A4596EE" w14:textId="77777777" w:rsidR="00D96EC6" w:rsidRPr="00B265F3" w:rsidRDefault="00D96EC6" w:rsidP="00D96EC6">
      <w:pPr>
        <w:ind w:left="720" w:right="720"/>
        <w:textAlignment w:val="baseline"/>
        <w:rPr>
          <w:rFonts w:ascii="Cambria" w:eastAsia="Times New Roman" w:hAnsi="Cambria" w:cs="Segoe UI"/>
          <w:sz w:val="20"/>
          <w:szCs w:val="20"/>
        </w:rPr>
      </w:pPr>
      <w:r w:rsidRPr="00B265F3">
        <w:rPr>
          <w:rFonts w:ascii="Cambria" w:hAnsi="Cambria"/>
          <w:sz w:val="20"/>
        </w:rPr>
        <w:t> </w:t>
      </w:r>
    </w:p>
    <w:p w14:paraId="1ABBFE68" w14:textId="77777777" w:rsidR="00D96EC6" w:rsidRPr="00B265F3" w:rsidRDefault="00D96EC6" w:rsidP="002341A5">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right="720" w:firstLine="705"/>
        <w:jc w:val="both"/>
        <w:textAlignment w:val="baseline"/>
        <w:rPr>
          <w:rFonts w:ascii="Cambria" w:eastAsia="Times New Roman" w:hAnsi="Cambria" w:cs="Segoe UI"/>
          <w:sz w:val="20"/>
          <w:szCs w:val="20"/>
        </w:rPr>
      </w:pPr>
      <w:r w:rsidRPr="00B265F3">
        <w:rPr>
          <w:rFonts w:ascii="Cambria" w:hAnsi="Cambria"/>
          <w:sz w:val="20"/>
        </w:rPr>
        <w:t>In the following months, joint meetings were held between the parties to analyze the comprehensive reparation measures to be included in the Friendly Settlement Agreement that is now being signed. </w:t>
      </w:r>
    </w:p>
    <w:p w14:paraId="391B9C5F"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color w:val="000000"/>
          <w:sz w:val="20"/>
        </w:rPr>
        <w:t> </w:t>
      </w:r>
    </w:p>
    <w:p w14:paraId="734AB203"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PART THREE: BENEFICIARIES</w:t>
      </w:r>
      <w:r w:rsidRPr="00B265F3">
        <w:rPr>
          <w:rFonts w:ascii="Cambria" w:hAnsi="Cambria"/>
          <w:color w:val="000000"/>
          <w:sz w:val="20"/>
        </w:rPr>
        <w:t> </w:t>
      </w:r>
    </w:p>
    <w:p w14:paraId="139C2490"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8336B5F"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The Colombian State recognizes the following persons, all Colombian citizens, as the victims referred to in this agreement:  </w:t>
      </w:r>
    </w:p>
    <w:p w14:paraId="17AB0B28" w14:textId="77777777" w:rsidR="00D96EC6" w:rsidRPr="00B265F3" w:rsidRDefault="00D96EC6" w:rsidP="00D96EC6">
      <w:pPr>
        <w:ind w:left="720" w:right="720"/>
        <w:jc w:val="both"/>
        <w:textAlignment w:val="baseline"/>
        <w:rPr>
          <w:rFonts w:ascii="Cambria" w:eastAsia="Times New Roman" w:hAnsi="Cambria" w:cs="Segoe UI"/>
          <w:color w:val="000000"/>
          <w:sz w:val="18"/>
          <w:szCs w:val="18"/>
        </w:rPr>
      </w:pPr>
      <w:r w:rsidRPr="00B265F3">
        <w:rPr>
          <w:rFonts w:ascii="Cambria" w:hAnsi="Cambria"/>
          <w:color w:val="000000"/>
          <w:sz w:val="18"/>
        </w:rPr>
        <w:t> </w:t>
      </w:r>
    </w:p>
    <w:tbl>
      <w:tblPr>
        <w:tblW w:w="8370"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00"/>
        <w:gridCol w:w="2700"/>
        <w:gridCol w:w="2160"/>
        <w:gridCol w:w="1710"/>
      </w:tblGrid>
      <w:tr w:rsidR="00D96EC6" w:rsidRPr="00B265F3" w14:paraId="3C393F1A" w14:textId="77777777" w:rsidTr="00244404">
        <w:trPr>
          <w:trHeight w:val="195"/>
        </w:trPr>
        <w:tc>
          <w:tcPr>
            <w:tcW w:w="180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7D7C9BC" w14:textId="77777777" w:rsidR="00D96EC6" w:rsidRPr="00B265F3" w:rsidRDefault="00D96EC6" w:rsidP="00244404">
            <w:pPr>
              <w:ind w:left="175" w:right="85"/>
              <w:jc w:val="center"/>
              <w:textAlignment w:val="baseline"/>
              <w:rPr>
                <w:rFonts w:ascii="Cambria" w:eastAsia="Times New Roman" w:hAnsi="Cambria"/>
                <w:sz w:val="20"/>
                <w:szCs w:val="20"/>
              </w:rPr>
            </w:pPr>
            <w:r w:rsidRPr="00B265F3">
              <w:rPr>
                <w:rFonts w:ascii="Cambria" w:hAnsi="Cambria"/>
                <w:b/>
                <w:sz w:val="20"/>
              </w:rPr>
              <w:t>Victim</w:t>
            </w:r>
            <w:r w:rsidRPr="00B265F3">
              <w:rPr>
                <w:rFonts w:ascii="Cambria" w:hAnsi="Cambria"/>
                <w:sz w:val="20"/>
              </w:rPr>
              <w:t> </w:t>
            </w:r>
          </w:p>
        </w:tc>
        <w:tc>
          <w:tcPr>
            <w:tcW w:w="2700" w:type="dxa"/>
            <w:tcBorders>
              <w:top w:val="single" w:sz="6" w:space="0" w:color="auto"/>
              <w:left w:val="nil"/>
              <w:bottom w:val="single" w:sz="6" w:space="0" w:color="auto"/>
              <w:right w:val="single" w:sz="6" w:space="0" w:color="auto"/>
            </w:tcBorders>
            <w:shd w:val="clear" w:color="auto" w:fill="E7E6E6"/>
            <w:vAlign w:val="center"/>
            <w:hideMark/>
          </w:tcPr>
          <w:p w14:paraId="4C6300B8" w14:textId="77777777" w:rsidR="00D96EC6" w:rsidRPr="00B265F3" w:rsidRDefault="00D96EC6" w:rsidP="00244404">
            <w:pPr>
              <w:ind w:left="720" w:right="720" w:hanging="37"/>
              <w:jc w:val="center"/>
              <w:textAlignment w:val="baseline"/>
              <w:rPr>
                <w:rFonts w:ascii="Cambria" w:eastAsia="Times New Roman" w:hAnsi="Cambria"/>
                <w:sz w:val="20"/>
                <w:szCs w:val="20"/>
              </w:rPr>
            </w:pPr>
            <w:r w:rsidRPr="00B265F3">
              <w:rPr>
                <w:rFonts w:ascii="Cambria" w:hAnsi="Cambria"/>
                <w:b/>
                <w:sz w:val="20"/>
              </w:rPr>
              <w:t>Family member</w:t>
            </w:r>
            <w:r w:rsidRPr="00B265F3">
              <w:rPr>
                <w:rFonts w:ascii="Cambria" w:hAnsi="Cambria"/>
                <w:sz w:val="20"/>
              </w:rPr>
              <w:t> </w:t>
            </w:r>
          </w:p>
        </w:tc>
        <w:tc>
          <w:tcPr>
            <w:tcW w:w="2160" w:type="dxa"/>
            <w:tcBorders>
              <w:top w:val="single" w:sz="6" w:space="0" w:color="auto"/>
              <w:left w:val="nil"/>
              <w:bottom w:val="single" w:sz="6" w:space="0" w:color="auto"/>
              <w:right w:val="single" w:sz="6" w:space="0" w:color="auto"/>
            </w:tcBorders>
            <w:shd w:val="clear" w:color="auto" w:fill="E7E6E6"/>
            <w:vAlign w:val="center"/>
            <w:hideMark/>
          </w:tcPr>
          <w:p w14:paraId="0D1F815E"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b/>
                <w:sz w:val="20"/>
              </w:rPr>
              <w:t>Relationship</w:t>
            </w:r>
          </w:p>
        </w:tc>
        <w:tc>
          <w:tcPr>
            <w:tcW w:w="1710" w:type="dxa"/>
            <w:tcBorders>
              <w:top w:val="single" w:sz="6" w:space="0" w:color="auto"/>
              <w:left w:val="nil"/>
              <w:bottom w:val="single" w:sz="6" w:space="0" w:color="auto"/>
              <w:right w:val="single" w:sz="6" w:space="0" w:color="auto"/>
            </w:tcBorders>
            <w:shd w:val="clear" w:color="auto" w:fill="E7E6E6"/>
            <w:vAlign w:val="center"/>
            <w:hideMark/>
          </w:tcPr>
          <w:p w14:paraId="0CB2A38E" w14:textId="77777777" w:rsidR="00D96EC6" w:rsidRPr="00B265F3" w:rsidRDefault="00D96EC6" w:rsidP="00244404">
            <w:pPr>
              <w:ind w:left="181" w:right="80"/>
              <w:jc w:val="center"/>
              <w:textAlignment w:val="baseline"/>
              <w:rPr>
                <w:rFonts w:ascii="Cambria" w:eastAsia="Times New Roman" w:hAnsi="Cambria"/>
                <w:sz w:val="20"/>
                <w:szCs w:val="20"/>
              </w:rPr>
            </w:pPr>
            <w:r w:rsidRPr="00B265F3">
              <w:rPr>
                <w:rFonts w:ascii="Cambria" w:hAnsi="Cambria"/>
                <w:b/>
                <w:sz w:val="20"/>
              </w:rPr>
              <w:t>Identification</w:t>
            </w:r>
          </w:p>
        </w:tc>
      </w:tr>
      <w:tr w:rsidR="00D96EC6" w:rsidRPr="00B265F3" w14:paraId="59BDD15F" w14:textId="77777777" w:rsidTr="00244404">
        <w:trPr>
          <w:trHeight w:val="60"/>
        </w:trPr>
        <w:tc>
          <w:tcPr>
            <w:tcW w:w="1800" w:type="dxa"/>
            <w:vMerge w:val="restart"/>
            <w:tcBorders>
              <w:top w:val="nil"/>
              <w:left w:val="single" w:sz="6" w:space="0" w:color="auto"/>
              <w:bottom w:val="single" w:sz="6" w:space="0" w:color="auto"/>
              <w:right w:val="single" w:sz="6" w:space="0" w:color="auto"/>
            </w:tcBorders>
            <w:shd w:val="clear" w:color="auto" w:fill="auto"/>
            <w:vAlign w:val="center"/>
            <w:hideMark/>
          </w:tcPr>
          <w:p w14:paraId="7B368AFA"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b/>
                <w:sz w:val="20"/>
              </w:rPr>
              <w:t>Luis Gerardo Toro Jiménez</w:t>
            </w:r>
            <w:r w:rsidRPr="00B265F3">
              <w:rPr>
                <w:rFonts w:ascii="Cambria" w:hAnsi="Cambria"/>
                <w:sz w:val="20"/>
              </w:rPr>
              <w:t> </w:t>
            </w:r>
          </w:p>
        </w:tc>
        <w:tc>
          <w:tcPr>
            <w:tcW w:w="2700" w:type="dxa"/>
            <w:tcBorders>
              <w:top w:val="nil"/>
              <w:left w:val="nil"/>
              <w:bottom w:val="single" w:sz="6" w:space="0" w:color="auto"/>
              <w:right w:val="single" w:sz="6" w:space="0" w:color="auto"/>
            </w:tcBorders>
            <w:shd w:val="clear" w:color="auto" w:fill="FFFFFF"/>
            <w:vAlign w:val="center"/>
            <w:hideMark/>
          </w:tcPr>
          <w:p w14:paraId="767EA469"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Mariela Ortiz de Toro </w:t>
            </w:r>
          </w:p>
        </w:tc>
        <w:tc>
          <w:tcPr>
            <w:tcW w:w="2160" w:type="dxa"/>
            <w:tcBorders>
              <w:top w:val="nil"/>
              <w:left w:val="nil"/>
              <w:bottom w:val="single" w:sz="6" w:space="0" w:color="auto"/>
              <w:right w:val="single" w:sz="6" w:space="0" w:color="auto"/>
            </w:tcBorders>
            <w:shd w:val="clear" w:color="auto" w:fill="FFFFFF"/>
            <w:vAlign w:val="center"/>
            <w:hideMark/>
          </w:tcPr>
          <w:p w14:paraId="73763944"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Wife</w:t>
            </w:r>
          </w:p>
        </w:tc>
        <w:tc>
          <w:tcPr>
            <w:tcW w:w="1710" w:type="dxa"/>
            <w:tcBorders>
              <w:top w:val="nil"/>
              <w:left w:val="nil"/>
              <w:bottom w:val="single" w:sz="6" w:space="0" w:color="auto"/>
              <w:right w:val="single" w:sz="6" w:space="0" w:color="auto"/>
            </w:tcBorders>
            <w:shd w:val="clear" w:color="auto" w:fill="FFFFFF"/>
            <w:vAlign w:val="center"/>
            <w:hideMark/>
          </w:tcPr>
          <w:p w14:paraId="197FDFEA"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378F3274" w14:textId="77777777" w:rsidTr="00244404">
        <w:trPr>
          <w:trHeight w:val="6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621620A5"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05EF52CE"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Julián Alberto Toro Ortiz </w:t>
            </w:r>
          </w:p>
        </w:tc>
        <w:tc>
          <w:tcPr>
            <w:tcW w:w="2160" w:type="dxa"/>
            <w:tcBorders>
              <w:top w:val="nil"/>
              <w:left w:val="nil"/>
              <w:bottom w:val="single" w:sz="6" w:space="0" w:color="auto"/>
              <w:right w:val="single" w:sz="6" w:space="0" w:color="auto"/>
            </w:tcBorders>
            <w:shd w:val="clear" w:color="auto" w:fill="FFFFFF"/>
            <w:vAlign w:val="center"/>
            <w:hideMark/>
          </w:tcPr>
          <w:p w14:paraId="49485BC9"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Son</w:t>
            </w:r>
          </w:p>
        </w:tc>
        <w:tc>
          <w:tcPr>
            <w:tcW w:w="1710" w:type="dxa"/>
            <w:tcBorders>
              <w:top w:val="nil"/>
              <w:left w:val="nil"/>
              <w:bottom w:val="single" w:sz="6" w:space="0" w:color="auto"/>
              <w:right w:val="single" w:sz="6" w:space="0" w:color="auto"/>
            </w:tcBorders>
            <w:shd w:val="clear" w:color="auto" w:fill="FFFFFF"/>
          </w:tcPr>
          <w:p w14:paraId="77F61BA3"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2930643F" w14:textId="77777777" w:rsidTr="00244404">
        <w:trPr>
          <w:trHeight w:val="6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0B8F57E6"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152BB82C"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Nelson Fernando Toro Ortiz </w:t>
            </w:r>
          </w:p>
        </w:tc>
        <w:tc>
          <w:tcPr>
            <w:tcW w:w="2160" w:type="dxa"/>
            <w:tcBorders>
              <w:top w:val="nil"/>
              <w:left w:val="nil"/>
              <w:bottom w:val="single" w:sz="6" w:space="0" w:color="auto"/>
              <w:right w:val="single" w:sz="6" w:space="0" w:color="auto"/>
            </w:tcBorders>
            <w:shd w:val="clear" w:color="auto" w:fill="FFFFFF"/>
            <w:vAlign w:val="center"/>
            <w:hideMark/>
          </w:tcPr>
          <w:p w14:paraId="49452A81"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Son</w:t>
            </w:r>
          </w:p>
        </w:tc>
        <w:tc>
          <w:tcPr>
            <w:tcW w:w="1710" w:type="dxa"/>
            <w:tcBorders>
              <w:top w:val="nil"/>
              <w:left w:val="nil"/>
              <w:bottom w:val="single" w:sz="6" w:space="0" w:color="auto"/>
              <w:right w:val="single" w:sz="6" w:space="0" w:color="auto"/>
            </w:tcBorders>
            <w:shd w:val="clear" w:color="auto" w:fill="FFFFFF"/>
          </w:tcPr>
          <w:p w14:paraId="7D7C6B61"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69F2B618" w14:textId="77777777" w:rsidTr="00244404">
        <w:trPr>
          <w:trHeight w:val="6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4082900A"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6BDCB096"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Luis Gerardo Toro Ortiz </w:t>
            </w:r>
          </w:p>
        </w:tc>
        <w:tc>
          <w:tcPr>
            <w:tcW w:w="2160" w:type="dxa"/>
            <w:tcBorders>
              <w:top w:val="nil"/>
              <w:left w:val="nil"/>
              <w:bottom w:val="single" w:sz="6" w:space="0" w:color="auto"/>
              <w:right w:val="single" w:sz="6" w:space="0" w:color="auto"/>
            </w:tcBorders>
            <w:shd w:val="clear" w:color="auto" w:fill="FFFFFF"/>
            <w:vAlign w:val="center"/>
            <w:hideMark/>
          </w:tcPr>
          <w:p w14:paraId="0C6F6C59"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Son</w:t>
            </w:r>
          </w:p>
        </w:tc>
        <w:tc>
          <w:tcPr>
            <w:tcW w:w="1710" w:type="dxa"/>
            <w:tcBorders>
              <w:top w:val="nil"/>
              <w:left w:val="nil"/>
              <w:bottom w:val="single" w:sz="6" w:space="0" w:color="auto"/>
              <w:right w:val="single" w:sz="6" w:space="0" w:color="auto"/>
            </w:tcBorders>
            <w:shd w:val="clear" w:color="auto" w:fill="FFFFFF"/>
          </w:tcPr>
          <w:p w14:paraId="299C3D91"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0A6E7879" w14:textId="77777777" w:rsidTr="00244404">
        <w:trPr>
          <w:trHeight w:val="105"/>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1F40AF6E"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0F96DA58" w14:textId="77777777" w:rsidR="00D96EC6" w:rsidRPr="00B265F3" w:rsidRDefault="00D96EC6" w:rsidP="00244404">
            <w:pPr>
              <w:ind w:left="92" w:right="84"/>
              <w:jc w:val="both"/>
              <w:textAlignment w:val="baseline"/>
              <w:rPr>
                <w:rFonts w:ascii="Cambria" w:eastAsia="Times New Roman" w:hAnsi="Cambria"/>
                <w:sz w:val="20"/>
                <w:szCs w:val="20"/>
                <w:lang w:val="es-CO"/>
              </w:rPr>
            </w:pPr>
            <w:r w:rsidRPr="00B265F3">
              <w:rPr>
                <w:rFonts w:ascii="Cambria" w:hAnsi="Cambria"/>
                <w:sz w:val="20"/>
                <w:lang w:val="es-CO"/>
              </w:rPr>
              <w:t>Ana Judith Toro de Agudelo </w:t>
            </w:r>
          </w:p>
        </w:tc>
        <w:tc>
          <w:tcPr>
            <w:tcW w:w="2160" w:type="dxa"/>
            <w:tcBorders>
              <w:top w:val="nil"/>
              <w:left w:val="nil"/>
              <w:bottom w:val="single" w:sz="6" w:space="0" w:color="auto"/>
              <w:right w:val="single" w:sz="6" w:space="0" w:color="auto"/>
            </w:tcBorders>
            <w:shd w:val="clear" w:color="auto" w:fill="FFFFFF"/>
            <w:vAlign w:val="center"/>
            <w:hideMark/>
          </w:tcPr>
          <w:p w14:paraId="29430B1B"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FFFFFF"/>
          </w:tcPr>
          <w:p w14:paraId="0C0DD9F0"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1BE19106" w14:textId="77777777" w:rsidTr="00244404">
        <w:trPr>
          <w:trHeight w:val="120"/>
        </w:trPr>
        <w:tc>
          <w:tcPr>
            <w:tcW w:w="1800" w:type="dxa"/>
            <w:vMerge w:val="restart"/>
            <w:tcBorders>
              <w:top w:val="nil"/>
              <w:left w:val="single" w:sz="6" w:space="0" w:color="auto"/>
              <w:bottom w:val="single" w:sz="6" w:space="0" w:color="auto"/>
              <w:right w:val="single" w:sz="6" w:space="0" w:color="auto"/>
            </w:tcBorders>
            <w:shd w:val="clear" w:color="auto" w:fill="auto"/>
            <w:vAlign w:val="center"/>
            <w:hideMark/>
          </w:tcPr>
          <w:p w14:paraId="4B107AD8"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b/>
                <w:sz w:val="20"/>
              </w:rPr>
              <w:t>José Davidson Toro Ortiz</w:t>
            </w:r>
            <w:r w:rsidRPr="00B265F3">
              <w:rPr>
                <w:rFonts w:ascii="Cambria" w:hAnsi="Cambria"/>
                <w:sz w:val="20"/>
              </w:rPr>
              <w:t> </w:t>
            </w:r>
          </w:p>
          <w:p w14:paraId="524595D9"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sz w:val="20"/>
              </w:rPr>
              <w:t> </w:t>
            </w:r>
          </w:p>
        </w:tc>
        <w:tc>
          <w:tcPr>
            <w:tcW w:w="2700" w:type="dxa"/>
            <w:tcBorders>
              <w:top w:val="nil"/>
              <w:left w:val="nil"/>
              <w:bottom w:val="single" w:sz="6" w:space="0" w:color="auto"/>
              <w:right w:val="single" w:sz="6" w:space="0" w:color="auto"/>
            </w:tcBorders>
            <w:shd w:val="clear" w:color="auto" w:fill="FFFFFF"/>
            <w:vAlign w:val="center"/>
            <w:hideMark/>
          </w:tcPr>
          <w:p w14:paraId="52927674"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Mariela Ortiz de Toro </w:t>
            </w:r>
          </w:p>
        </w:tc>
        <w:tc>
          <w:tcPr>
            <w:tcW w:w="2160" w:type="dxa"/>
            <w:tcBorders>
              <w:top w:val="nil"/>
              <w:left w:val="nil"/>
              <w:bottom w:val="single" w:sz="6" w:space="0" w:color="auto"/>
              <w:right w:val="single" w:sz="6" w:space="0" w:color="auto"/>
            </w:tcBorders>
            <w:shd w:val="clear" w:color="auto" w:fill="FFFFFF"/>
            <w:vAlign w:val="center"/>
            <w:hideMark/>
          </w:tcPr>
          <w:p w14:paraId="57D72B10"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Mother</w:t>
            </w:r>
          </w:p>
        </w:tc>
        <w:tc>
          <w:tcPr>
            <w:tcW w:w="1710" w:type="dxa"/>
            <w:tcBorders>
              <w:top w:val="nil"/>
              <w:left w:val="nil"/>
              <w:bottom w:val="single" w:sz="6" w:space="0" w:color="auto"/>
              <w:right w:val="single" w:sz="6" w:space="0" w:color="auto"/>
            </w:tcBorders>
            <w:shd w:val="clear" w:color="auto" w:fill="FFFFFF"/>
          </w:tcPr>
          <w:p w14:paraId="749BE65E"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00B09DFC" w14:textId="77777777" w:rsidTr="00244404">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378543CF"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0E87319F"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Estefania Toro Morales </w:t>
            </w:r>
          </w:p>
        </w:tc>
        <w:tc>
          <w:tcPr>
            <w:tcW w:w="2160" w:type="dxa"/>
            <w:tcBorders>
              <w:top w:val="nil"/>
              <w:left w:val="nil"/>
              <w:bottom w:val="single" w:sz="6" w:space="0" w:color="auto"/>
              <w:right w:val="single" w:sz="6" w:space="0" w:color="auto"/>
            </w:tcBorders>
            <w:shd w:val="clear" w:color="auto" w:fill="FFFFFF"/>
            <w:vAlign w:val="center"/>
            <w:hideMark/>
          </w:tcPr>
          <w:p w14:paraId="738756EF"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Daughter</w:t>
            </w:r>
          </w:p>
        </w:tc>
        <w:tc>
          <w:tcPr>
            <w:tcW w:w="1710" w:type="dxa"/>
            <w:tcBorders>
              <w:top w:val="nil"/>
              <w:left w:val="nil"/>
              <w:bottom w:val="single" w:sz="6" w:space="0" w:color="auto"/>
              <w:right w:val="single" w:sz="6" w:space="0" w:color="auto"/>
            </w:tcBorders>
            <w:shd w:val="clear" w:color="auto" w:fill="FFFFFF"/>
          </w:tcPr>
          <w:p w14:paraId="2A1EF52E"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38C23EAC" w14:textId="77777777" w:rsidTr="00244404">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12A98FD6"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0DFFBC91"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Julián Alberto Toro Ortiz </w:t>
            </w:r>
          </w:p>
        </w:tc>
        <w:tc>
          <w:tcPr>
            <w:tcW w:w="2160" w:type="dxa"/>
            <w:tcBorders>
              <w:top w:val="nil"/>
              <w:left w:val="nil"/>
              <w:bottom w:val="single" w:sz="6" w:space="0" w:color="auto"/>
              <w:right w:val="single" w:sz="6" w:space="0" w:color="auto"/>
            </w:tcBorders>
            <w:shd w:val="clear" w:color="auto" w:fill="FFFFFF"/>
            <w:vAlign w:val="center"/>
            <w:hideMark/>
          </w:tcPr>
          <w:p w14:paraId="26F1D205"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Brother</w:t>
            </w:r>
          </w:p>
        </w:tc>
        <w:tc>
          <w:tcPr>
            <w:tcW w:w="1710" w:type="dxa"/>
            <w:tcBorders>
              <w:top w:val="nil"/>
              <w:left w:val="nil"/>
              <w:bottom w:val="single" w:sz="6" w:space="0" w:color="auto"/>
              <w:right w:val="single" w:sz="6" w:space="0" w:color="auto"/>
            </w:tcBorders>
            <w:shd w:val="clear" w:color="auto" w:fill="FFFFFF"/>
          </w:tcPr>
          <w:p w14:paraId="2612C2A7"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5B6027A9" w14:textId="77777777" w:rsidTr="00244404">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0EEB1EF2"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6D0EEC99"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Nelson Fernando Toro Ortiz </w:t>
            </w:r>
          </w:p>
        </w:tc>
        <w:tc>
          <w:tcPr>
            <w:tcW w:w="2160" w:type="dxa"/>
            <w:tcBorders>
              <w:top w:val="nil"/>
              <w:left w:val="nil"/>
              <w:bottom w:val="single" w:sz="6" w:space="0" w:color="auto"/>
              <w:right w:val="single" w:sz="6" w:space="0" w:color="auto"/>
            </w:tcBorders>
            <w:shd w:val="clear" w:color="auto" w:fill="FFFFFF"/>
            <w:vAlign w:val="center"/>
            <w:hideMark/>
          </w:tcPr>
          <w:p w14:paraId="70979CBF"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Brother</w:t>
            </w:r>
          </w:p>
        </w:tc>
        <w:tc>
          <w:tcPr>
            <w:tcW w:w="1710" w:type="dxa"/>
            <w:tcBorders>
              <w:top w:val="nil"/>
              <w:left w:val="nil"/>
              <w:bottom w:val="single" w:sz="6" w:space="0" w:color="auto"/>
              <w:right w:val="single" w:sz="6" w:space="0" w:color="auto"/>
            </w:tcBorders>
            <w:shd w:val="clear" w:color="auto" w:fill="FFFFFF"/>
          </w:tcPr>
          <w:p w14:paraId="03652C46"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381F5C14" w14:textId="77777777" w:rsidTr="00011BA8">
        <w:trPr>
          <w:trHeight w:val="300"/>
        </w:trPr>
        <w:tc>
          <w:tcPr>
            <w:tcW w:w="1800" w:type="dxa"/>
            <w:vMerge/>
            <w:tcBorders>
              <w:top w:val="nil"/>
              <w:left w:val="single" w:sz="6" w:space="0" w:color="auto"/>
              <w:bottom w:val="single" w:sz="4" w:space="0" w:color="auto"/>
              <w:right w:val="single" w:sz="6" w:space="0" w:color="auto"/>
            </w:tcBorders>
            <w:shd w:val="clear" w:color="auto" w:fill="auto"/>
            <w:vAlign w:val="center"/>
            <w:hideMark/>
          </w:tcPr>
          <w:p w14:paraId="12DE5B02"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4" w:space="0" w:color="auto"/>
              <w:right w:val="single" w:sz="6" w:space="0" w:color="auto"/>
            </w:tcBorders>
            <w:shd w:val="clear" w:color="auto" w:fill="FFFFFF"/>
            <w:vAlign w:val="center"/>
            <w:hideMark/>
          </w:tcPr>
          <w:p w14:paraId="775622AE"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Luis Gerardo Toro Ortiz </w:t>
            </w:r>
          </w:p>
        </w:tc>
        <w:tc>
          <w:tcPr>
            <w:tcW w:w="2160" w:type="dxa"/>
            <w:tcBorders>
              <w:top w:val="nil"/>
              <w:left w:val="nil"/>
              <w:bottom w:val="single" w:sz="4" w:space="0" w:color="auto"/>
              <w:right w:val="single" w:sz="6" w:space="0" w:color="auto"/>
            </w:tcBorders>
            <w:shd w:val="clear" w:color="auto" w:fill="FFFFFF"/>
            <w:vAlign w:val="center"/>
            <w:hideMark/>
          </w:tcPr>
          <w:p w14:paraId="3E7D6DF0" w14:textId="77777777" w:rsidR="00D96EC6" w:rsidRPr="00B265F3" w:rsidRDefault="00D96EC6" w:rsidP="00244404">
            <w:pPr>
              <w:ind w:left="174" w:right="167"/>
              <w:jc w:val="center"/>
              <w:textAlignment w:val="baseline"/>
              <w:rPr>
                <w:rFonts w:ascii="Cambria" w:eastAsia="Times New Roman" w:hAnsi="Cambria"/>
                <w:sz w:val="20"/>
                <w:szCs w:val="20"/>
              </w:rPr>
            </w:pPr>
            <w:r w:rsidRPr="00B265F3">
              <w:rPr>
                <w:rFonts w:ascii="Cambria" w:hAnsi="Cambria"/>
                <w:sz w:val="20"/>
              </w:rPr>
              <w:t>Brother</w:t>
            </w:r>
          </w:p>
        </w:tc>
        <w:tc>
          <w:tcPr>
            <w:tcW w:w="1710" w:type="dxa"/>
            <w:tcBorders>
              <w:top w:val="nil"/>
              <w:left w:val="nil"/>
              <w:bottom w:val="single" w:sz="4" w:space="0" w:color="auto"/>
              <w:right w:val="single" w:sz="6" w:space="0" w:color="auto"/>
            </w:tcBorders>
            <w:shd w:val="clear" w:color="auto" w:fill="FFFFFF"/>
          </w:tcPr>
          <w:p w14:paraId="6CEF6C6C"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408E37F2" w14:textId="77777777" w:rsidTr="00011BA8">
        <w:trPr>
          <w:trHeight w:val="300"/>
        </w:trPr>
        <w:tc>
          <w:tcPr>
            <w:tcW w:w="1800" w:type="dxa"/>
            <w:vMerge w:val="restart"/>
            <w:tcBorders>
              <w:top w:val="single" w:sz="4" w:space="0" w:color="auto"/>
              <w:left w:val="single" w:sz="4" w:space="0" w:color="auto"/>
              <w:bottom w:val="single" w:sz="4" w:space="0" w:color="auto"/>
              <w:right w:val="single" w:sz="6" w:space="0" w:color="auto"/>
            </w:tcBorders>
            <w:shd w:val="clear" w:color="auto" w:fill="auto"/>
            <w:vAlign w:val="center"/>
            <w:hideMark/>
          </w:tcPr>
          <w:p w14:paraId="261C3406"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b/>
                <w:sz w:val="20"/>
              </w:rPr>
              <w:t>Robinson de Jesús Agudelo Toro</w:t>
            </w:r>
            <w:r w:rsidRPr="00B265F3">
              <w:rPr>
                <w:rFonts w:ascii="Cambria" w:hAnsi="Cambria"/>
                <w:sz w:val="20"/>
              </w:rPr>
              <w:t> </w:t>
            </w:r>
          </w:p>
          <w:p w14:paraId="23048BF8"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sz w:val="20"/>
              </w:rPr>
              <w:lastRenderedPageBreak/>
              <w:t> </w:t>
            </w:r>
          </w:p>
        </w:tc>
        <w:tc>
          <w:tcPr>
            <w:tcW w:w="2700" w:type="dxa"/>
            <w:tcBorders>
              <w:top w:val="single" w:sz="4" w:space="0" w:color="auto"/>
              <w:left w:val="nil"/>
              <w:bottom w:val="single" w:sz="4" w:space="0" w:color="auto"/>
              <w:right w:val="single" w:sz="6" w:space="0" w:color="auto"/>
            </w:tcBorders>
            <w:shd w:val="clear" w:color="auto" w:fill="auto"/>
            <w:vAlign w:val="center"/>
            <w:hideMark/>
          </w:tcPr>
          <w:p w14:paraId="007A6F02" w14:textId="77777777" w:rsidR="00D96EC6" w:rsidRPr="00B265F3" w:rsidRDefault="00D96EC6" w:rsidP="00244404">
            <w:pPr>
              <w:ind w:left="92" w:right="84"/>
              <w:jc w:val="both"/>
              <w:textAlignment w:val="baseline"/>
              <w:rPr>
                <w:rFonts w:ascii="Cambria" w:eastAsia="Times New Roman" w:hAnsi="Cambria"/>
                <w:sz w:val="20"/>
                <w:szCs w:val="20"/>
                <w:lang w:val="es-CO"/>
              </w:rPr>
            </w:pPr>
            <w:r w:rsidRPr="00B265F3">
              <w:rPr>
                <w:rFonts w:ascii="Cambria" w:hAnsi="Cambria"/>
                <w:sz w:val="20"/>
                <w:lang w:val="es-CO"/>
              </w:rPr>
              <w:lastRenderedPageBreak/>
              <w:t>Ana Judith Toro de Agudelo </w:t>
            </w:r>
          </w:p>
        </w:tc>
        <w:tc>
          <w:tcPr>
            <w:tcW w:w="2160" w:type="dxa"/>
            <w:tcBorders>
              <w:top w:val="single" w:sz="4" w:space="0" w:color="auto"/>
              <w:left w:val="nil"/>
              <w:bottom w:val="single" w:sz="4" w:space="0" w:color="auto"/>
              <w:right w:val="single" w:sz="6" w:space="0" w:color="auto"/>
            </w:tcBorders>
            <w:shd w:val="clear" w:color="auto" w:fill="auto"/>
            <w:vAlign w:val="center"/>
            <w:hideMark/>
          </w:tcPr>
          <w:p w14:paraId="74013EE5"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Mother</w:t>
            </w:r>
          </w:p>
        </w:tc>
        <w:tc>
          <w:tcPr>
            <w:tcW w:w="1710" w:type="dxa"/>
            <w:tcBorders>
              <w:top w:val="single" w:sz="4" w:space="0" w:color="auto"/>
              <w:left w:val="nil"/>
              <w:bottom w:val="single" w:sz="4" w:space="0" w:color="auto"/>
              <w:right w:val="single" w:sz="4" w:space="0" w:color="auto"/>
            </w:tcBorders>
            <w:shd w:val="clear" w:color="auto" w:fill="auto"/>
          </w:tcPr>
          <w:p w14:paraId="6ED6C69C"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1BAF3840" w14:textId="77777777" w:rsidTr="00011BA8">
        <w:trPr>
          <w:trHeight w:val="300"/>
        </w:trPr>
        <w:tc>
          <w:tcPr>
            <w:tcW w:w="1800" w:type="dxa"/>
            <w:vMerge/>
            <w:tcBorders>
              <w:top w:val="single" w:sz="4" w:space="0" w:color="auto"/>
              <w:left w:val="single" w:sz="6" w:space="0" w:color="auto"/>
              <w:bottom w:val="nil"/>
              <w:right w:val="single" w:sz="6" w:space="0" w:color="auto"/>
            </w:tcBorders>
            <w:shd w:val="clear" w:color="auto" w:fill="auto"/>
            <w:vAlign w:val="center"/>
            <w:hideMark/>
          </w:tcPr>
          <w:p w14:paraId="2B0520B2" w14:textId="77777777" w:rsidR="00D96EC6" w:rsidRPr="00B265F3" w:rsidRDefault="00D96EC6" w:rsidP="00244404">
            <w:pPr>
              <w:ind w:left="175" w:right="85"/>
              <w:rPr>
                <w:rFonts w:ascii="Cambria" w:eastAsia="Times New Roman" w:hAnsi="Cambria"/>
                <w:sz w:val="20"/>
                <w:szCs w:val="20"/>
              </w:rPr>
            </w:pPr>
          </w:p>
        </w:tc>
        <w:tc>
          <w:tcPr>
            <w:tcW w:w="2700" w:type="dxa"/>
            <w:tcBorders>
              <w:top w:val="single" w:sz="4" w:space="0" w:color="auto"/>
              <w:left w:val="nil"/>
              <w:bottom w:val="single" w:sz="6" w:space="0" w:color="auto"/>
              <w:right w:val="single" w:sz="6" w:space="0" w:color="auto"/>
            </w:tcBorders>
            <w:shd w:val="clear" w:color="auto" w:fill="auto"/>
            <w:vAlign w:val="center"/>
            <w:hideMark/>
          </w:tcPr>
          <w:p w14:paraId="7EC42813"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Robinson Londoño Salamanca </w:t>
            </w:r>
          </w:p>
        </w:tc>
        <w:tc>
          <w:tcPr>
            <w:tcW w:w="2160" w:type="dxa"/>
            <w:tcBorders>
              <w:top w:val="single" w:sz="4" w:space="0" w:color="auto"/>
              <w:left w:val="nil"/>
              <w:bottom w:val="single" w:sz="6" w:space="0" w:color="auto"/>
              <w:right w:val="single" w:sz="6" w:space="0" w:color="auto"/>
            </w:tcBorders>
            <w:shd w:val="clear" w:color="auto" w:fill="auto"/>
            <w:vAlign w:val="center"/>
            <w:hideMark/>
          </w:tcPr>
          <w:p w14:paraId="464251D2"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Son</w:t>
            </w:r>
          </w:p>
        </w:tc>
        <w:tc>
          <w:tcPr>
            <w:tcW w:w="1710" w:type="dxa"/>
            <w:tcBorders>
              <w:top w:val="single" w:sz="4" w:space="0" w:color="auto"/>
              <w:left w:val="nil"/>
              <w:bottom w:val="single" w:sz="6" w:space="0" w:color="auto"/>
              <w:right w:val="single" w:sz="6" w:space="0" w:color="auto"/>
            </w:tcBorders>
            <w:shd w:val="clear" w:color="auto" w:fill="auto"/>
          </w:tcPr>
          <w:p w14:paraId="7949B4EF"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31B21C34" w14:textId="77777777" w:rsidTr="00244404">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2C0DB9CE"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259DE369"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Agueda Uniris Agudelo Toro </w:t>
            </w:r>
          </w:p>
        </w:tc>
        <w:tc>
          <w:tcPr>
            <w:tcW w:w="2160" w:type="dxa"/>
            <w:tcBorders>
              <w:top w:val="nil"/>
              <w:left w:val="nil"/>
              <w:bottom w:val="single" w:sz="6" w:space="0" w:color="auto"/>
              <w:right w:val="single" w:sz="6" w:space="0" w:color="auto"/>
            </w:tcBorders>
            <w:shd w:val="clear" w:color="auto" w:fill="auto"/>
            <w:vAlign w:val="center"/>
            <w:hideMark/>
          </w:tcPr>
          <w:p w14:paraId="352A093D"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auto"/>
          </w:tcPr>
          <w:p w14:paraId="28B137B0"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61553BEC" w14:textId="77777777" w:rsidTr="00244404">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18F0B263"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64F83BFB"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Luz Mariena Agudelo Toro </w:t>
            </w:r>
          </w:p>
        </w:tc>
        <w:tc>
          <w:tcPr>
            <w:tcW w:w="2160" w:type="dxa"/>
            <w:tcBorders>
              <w:top w:val="nil"/>
              <w:left w:val="nil"/>
              <w:bottom w:val="single" w:sz="6" w:space="0" w:color="auto"/>
              <w:right w:val="single" w:sz="6" w:space="0" w:color="auto"/>
            </w:tcBorders>
            <w:shd w:val="clear" w:color="auto" w:fill="auto"/>
            <w:vAlign w:val="center"/>
            <w:hideMark/>
          </w:tcPr>
          <w:p w14:paraId="2221F8FB"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auto"/>
          </w:tcPr>
          <w:p w14:paraId="0C598523"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4431E272" w14:textId="77777777" w:rsidTr="00244404">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1DE8AD05"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02425BF5"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Ruby Inés Agudelo Toro </w:t>
            </w:r>
          </w:p>
        </w:tc>
        <w:tc>
          <w:tcPr>
            <w:tcW w:w="2160" w:type="dxa"/>
            <w:tcBorders>
              <w:top w:val="nil"/>
              <w:left w:val="nil"/>
              <w:bottom w:val="single" w:sz="6" w:space="0" w:color="auto"/>
              <w:right w:val="single" w:sz="6" w:space="0" w:color="auto"/>
            </w:tcBorders>
            <w:shd w:val="clear" w:color="auto" w:fill="auto"/>
            <w:vAlign w:val="center"/>
            <w:hideMark/>
          </w:tcPr>
          <w:p w14:paraId="46CE6FE4"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auto"/>
          </w:tcPr>
          <w:p w14:paraId="78A745E9"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1BA8DF9E" w14:textId="77777777" w:rsidTr="00244404">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48C91158"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64AB4651"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Diana Maria Agudelo Toro </w:t>
            </w:r>
          </w:p>
        </w:tc>
        <w:tc>
          <w:tcPr>
            <w:tcW w:w="2160" w:type="dxa"/>
            <w:tcBorders>
              <w:top w:val="nil"/>
              <w:left w:val="nil"/>
              <w:bottom w:val="single" w:sz="6" w:space="0" w:color="auto"/>
              <w:right w:val="single" w:sz="6" w:space="0" w:color="auto"/>
            </w:tcBorders>
            <w:shd w:val="clear" w:color="auto" w:fill="auto"/>
            <w:vAlign w:val="center"/>
            <w:hideMark/>
          </w:tcPr>
          <w:p w14:paraId="19B57A1A"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auto"/>
          </w:tcPr>
          <w:p w14:paraId="621A07C4"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0A22562A" w14:textId="77777777" w:rsidTr="00244404">
        <w:trPr>
          <w:trHeight w:val="300"/>
        </w:trPr>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977C14"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b/>
                <w:sz w:val="20"/>
              </w:rPr>
              <w:t>Luis Gonzaga Toro Arcila</w:t>
            </w:r>
            <w:r w:rsidRPr="00B265F3">
              <w:rPr>
                <w:rFonts w:ascii="Cambria" w:hAnsi="Cambria"/>
                <w:sz w:val="20"/>
              </w:rPr>
              <w:t> </w:t>
            </w:r>
          </w:p>
          <w:p w14:paraId="267FD047" w14:textId="77777777" w:rsidR="00D96EC6" w:rsidRPr="00B265F3" w:rsidRDefault="00D96EC6" w:rsidP="00244404">
            <w:pPr>
              <w:ind w:left="175" w:right="85"/>
              <w:jc w:val="both"/>
              <w:textAlignment w:val="baseline"/>
              <w:rPr>
                <w:rFonts w:ascii="Cambria" w:eastAsia="Times New Roman" w:hAnsi="Cambria"/>
                <w:sz w:val="20"/>
                <w:szCs w:val="20"/>
              </w:rPr>
            </w:pPr>
            <w:r w:rsidRPr="00B265F3">
              <w:rPr>
                <w:rFonts w:ascii="Cambria" w:hAnsi="Cambria"/>
                <w:sz w:val="20"/>
              </w:rPr>
              <w:t> </w:t>
            </w:r>
          </w:p>
        </w:tc>
        <w:tc>
          <w:tcPr>
            <w:tcW w:w="2700" w:type="dxa"/>
            <w:tcBorders>
              <w:top w:val="nil"/>
              <w:left w:val="nil"/>
              <w:bottom w:val="single" w:sz="6" w:space="0" w:color="auto"/>
              <w:right w:val="single" w:sz="6" w:space="0" w:color="auto"/>
            </w:tcBorders>
            <w:shd w:val="clear" w:color="auto" w:fill="auto"/>
            <w:vAlign w:val="center"/>
            <w:hideMark/>
          </w:tcPr>
          <w:p w14:paraId="1065F270"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Mariela Arcila de Toro </w:t>
            </w:r>
          </w:p>
        </w:tc>
        <w:tc>
          <w:tcPr>
            <w:tcW w:w="2160" w:type="dxa"/>
            <w:tcBorders>
              <w:top w:val="nil"/>
              <w:left w:val="nil"/>
              <w:bottom w:val="single" w:sz="6" w:space="0" w:color="auto"/>
              <w:right w:val="single" w:sz="6" w:space="0" w:color="auto"/>
            </w:tcBorders>
            <w:shd w:val="clear" w:color="auto" w:fill="auto"/>
            <w:vAlign w:val="center"/>
            <w:hideMark/>
          </w:tcPr>
          <w:p w14:paraId="32126078"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Mother</w:t>
            </w:r>
          </w:p>
        </w:tc>
        <w:tc>
          <w:tcPr>
            <w:tcW w:w="1710" w:type="dxa"/>
            <w:tcBorders>
              <w:top w:val="nil"/>
              <w:left w:val="nil"/>
              <w:bottom w:val="single" w:sz="6" w:space="0" w:color="auto"/>
              <w:right w:val="single" w:sz="6" w:space="0" w:color="auto"/>
            </w:tcBorders>
            <w:shd w:val="clear" w:color="auto" w:fill="auto"/>
          </w:tcPr>
          <w:p w14:paraId="060BB4C3"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29522EB2" w14:textId="77777777" w:rsidTr="00244404">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503B02"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3AF4ACF2" w14:textId="77777777" w:rsidR="00D96EC6" w:rsidRPr="00B265F3" w:rsidRDefault="00D96EC6" w:rsidP="00244404">
            <w:pPr>
              <w:ind w:left="92" w:right="84"/>
              <w:jc w:val="both"/>
              <w:textAlignment w:val="baseline"/>
              <w:rPr>
                <w:rFonts w:ascii="Cambria" w:eastAsia="Times New Roman" w:hAnsi="Cambria"/>
                <w:sz w:val="20"/>
                <w:szCs w:val="20"/>
              </w:rPr>
            </w:pPr>
            <w:proofErr w:type="spellStart"/>
            <w:r w:rsidRPr="00B265F3">
              <w:rPr>
                <w:rFonts w:ascii="Cambria" w:hAnsi="Cambria"/>
                <w:sz w:val="20"/>
              </w:rPr>
              <w:t>Jeisson</w:t>
            </w:r>
            <w:proofErr w:type="spellEnd"/>
            <w:r w:rsidRPr="00B265F3">
              <w:rPr>
                <w:rFonts w:ascii="Cambria" w:hAnsi="Cambria"/>
                <w:sz w:val="20"/>
              </w:rPr>
              <w:t xml:space="preserve"> Andrey Toro </w:t>
            </w:r>
            <w:proofErr w:type="spellStart"/>
            <w:r w:rsidRPr="00B265F3">
              <w:rPr>
                <w:rFonts w:ascii="Cambria" w:hAnsi="Cambria"/>
                <w:sz w:val="20"/>
              </w:rPr>
              <w:t>Santibañez</w:t>
            </w:r>
            <w:proofErr w:type="spellEnd"/>
            <w:r w:rsidRPr="00B265F3">
              <w:rPr>
                <w:rFonts w:ascii="Cambria" w:hAnsi="Cambria"/>
                <w:sz w:val="20"/>
              </w:rPr>
              <w:t> </w:t>
            </w:r>
          </w:p>
        </w:tc>
        <w:tc>
          <w:tcPr>
            <w:tcW w:w="2160" w:type="dxa"/>
            <w:tcBorders>
              <w:top w:val="nil"/>
              <w:left w:val="nil"/>
              <w:bottom w:val="single" w:sz="6" w:space="0" w:color="auto"/>
              <w:right w:val="single" w:sz="6" w:space="0" w:color="auto"/>
            </w:tcBorders>
            <w:shd w:val="clear" w:color="auto" w:fill="auto"/>
            <w:vAlign w:val="center"/>
            <w:hideMark/>
          </w:tcPr>
          <w:p w14:paraId="579B84FF"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Son</w:t>
            </w:r>
          </w:p>
        </w:tc>
        <w:tc>
          <w:tcPr>
            <w:tcW w:w="1710" w:type="dxa"/>
            <w:tcBorders>
              <w:top w:val="nil"/>
              <w:left w:val="nil"/>
              <w:bottom w:val="single" w:sz="6" w:space="0" w:color="auto"/>
              <w:right w:val="single" w:sz="6" w:space="0" w:color="auto"/>
            </w:tcBorders>
            <w:shd w:val="clear" w:color="auto" w:fill="auto"/>
          </w:tcPr>
          <w:p w14:paraId="044A169D"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1FB03D8A" w14:textId="77777777" w:rsidTr="00244404">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D63C34"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45D0730D"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María Rosalba Toro Arcila </w:t>
            </w:r>
          </w:p>
        </w:tc>
        <w:tc>
          <w:tcPr>
            <w:tcW w:w="2160" w:type="dxa"/>
            <w:tcBorders>
              <w:top w:val="nil"/>
              <w:left w:val="nil"/>
              <w:bottom w:val="single" w:sz="6" w:space="0" w:color="auto"/>
              <w:right w:val="single" w:sz="6" w:space="0" w:color="auto"/>
            </w:tcBorders>
            <w:shd w:val="clear" w:color="auto" w:fill="auto"/>
            <w:vAlign w:val="center"/>
            <w:hideMark/>
          </w:tcPr>
          <w:p w14:paraId="68DAA398"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auto"/>
          </w:tcPr>
          <w:p w14:paraId="26C2F14F"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7E8245C2" w14:textId="77777777" w:rsidTr="00244404">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35A8CE"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7099C039"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Roberto Toro Arcila </w:t>
            </w:r>
          </w:p>
        </w:tc>
        <w:tc>
          <w:tcPr>
            <w:tcW w:w="2160" w:type="dxa"/>
            <w:tcBorders>
              <w:top w:val="nil"/>
              <w:left w:val="nil"/>
              <w:bottom w:val="single" w:sz="6" w:space="0" w:color="auto"/>
              <w:right w:val="single" w:sz="6" w:space="0" w:color="auto"/>
            </w:tcBorders>
            <w:shd w:val="clear" w:color="auto" w:fill="auto"/>
            <w:vAlign w:val="center"/>
            <w:hideMark/>
          </w:tcPr>
          <w:p w14:paraId="55703F4B"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Brother</w:t>
            </w:r>
          </w:p>
        </w:tc>
        <w:tc>
          <w:tcPr>
            <w:tcW w:w="1710" w:type="dxa"/>
            <w:tcBorders>
              <w:top w:val="nil"/>
              <w:left w:val="nil"/>
              <w:bottom w:val="single" w:sz="6" w:space="0" w:color="auto"/>
              <w:right w:val="single" w:sz="6" w:space="0" w:color="auto"/>
            </w:tcBorders>
            <w:shd w:val="clear" w:color="auto" w:fill="auto"/>
          </w:tcPr>
          <w:p w14:paraId="4E39125D"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r w:rsidR="00D96EC6" w:rsidRPr="00B265F3" w14:paraId="5992D6A4" w14:textId="77777777" w:rsidTr="00244404">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BB2AB8" w14:textId="77777777" w:rsidR="00D96EC6" w:rsidRPr="00B265F3" w:rsidRDefault="00D96EC6" w:rsidP="00244404">
            <w:pPr>
              <w:ind w:left="175" w:right="85"/>
              <w:rPr>
                <w:rFonts w:ascii="Cambria" w:eastAsia="Times New Roman" w:hAnsi="Cambria"/>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3562CFCD" w14:textId="77777777" w:rsidR="00D96EC6" w:rsidRPr="00B265F3" w:rsidRDefault="00D96EC6" w:rsidP="00244404">
            <w:pPr>
              <w:ind w:left="92" w:right="84"/>
              <w:jc w:val="both"/>
              <w:textAlignment w:val="baseline"/>
              <w:rPr>
                <w:rFonts w:ascii="Cambria" w:eastAsia="Times New Roman" w:hAnsi="Cambria"/>
                <w:sz w:val="20"/>
                <w:szCs w:val="20"/>
              </w:rPr>
            </w:pPr>
            <w:r w:rsidRPr="00B265F3">
              <w:rPr>
                <w:rFonts w:ascii="Cambria" w:hAnsi="Cambria"/>
                <w:sz w:val="20"/>
              </w:rPr>
              <w:t>Ruby Elena Toro Arcila  </w:t>
            </w:r>
          </w:p>
        </w:tc>
        <w:tc>
          <w:tcPr>
            <w:tcW w:w="2160" w:type="dxa"/>
            <w:tcBorders>
              <w:top w:val="nil"/>
              <w:left w:val="nil"/>
              <w:bottom w:val="single" w:sz="6" w:space="0" w:color="auto"/>
              <w:right w:val="single" w:sz="6" w:space="0" w:color="auto"/>
            </w:tcBorders>
            <w:shd w:val="clear" w:color="auto" w:fill="auto"/>
            <w:vAlign w:val="center"/>
            <w:hideMark/>
          </w:tcPr>
          <w:p w14:paraId="2ACAC816" w14:textId="77777777" w:rsidR="00D96EC6" w:rsidRPr="00B265F3" w:rsidRDefault="00D96EC6" w:rsidP="00244404">
            <w:pPr>
              <w:tabs>
                <w:tab w:val="left" w:pos="990"/>
              </w:tabs>
              <w:ind w:left="174" w:right="167"/>
              <w:jc w:val="center"/>
              <w:textAlignment w:val="baseline"/>
              <w:rPr>
                <w:rFonts w:ascii="Cambria" w:eastAsia="Times New Roman" w:hAnsi="Cambria"/>
                <w:sz w:val="20"/>
                <w:szCs w:val="20"/>
              </w:rPr>
            </w:pPr>
            <w:r w:rsidRPr="00B265F3">
              <w:rPr>
                <w:rFonts w:ascii="Cambria" w:hAnsi="Cambria"/>
                <w:sz w:val="20"/>
              </w:rPr>
              <w:t>Sister</w:t>
            </w:r>
          </w:p>
        </w:tc>
        <w:tc>
          <w:tcPr>
            <w:tcW w:w="1710" w:type="dxa"/>
            <w:tcBorders>
              <w:top w:val="nil"/>
              <w:left w:val="nil"/>
              <w:bottom w:val="single" w:sz="6" w:space="0" w:color="auto"/>
              <w:right w:val="single" w:sz="6" w:space="0" w:color="auto"/>
            </w:tcBorders>
            <w:shd w:val="clear" w:color="auto" w:fill="auto"/>
          </w:tcPr>
          <w:p w14:paraId="406ABAF3" w14:textId="77777777" w:rsidR="00D96EC6" w:rsidRPr="00B265F3" w:rsidRDefault="00D96EC6" w:rsidP="00244404">
            <w:pPr>
              <w:tabs>
                <w:tab w:val="left" w:pos="1350"/>
              </w:tabs>
              <w:ind w:left="181" w:right="80"/>
              <w:jc w:val="center"/>
              <w:textAlignment w:val="baseline"/>
              <w:rPr>
                <w:rFonts w:ascii="Cambria" w:eastAsia="Times New Roman" w:hAnsi="Cambria"/>
                <w:sz w:val="20"/>
                <w:szCs w:val="20"/>
              </w:rPr>
            </w:pPr>
            <w:r w:rsidRPr="00B265F3">
              <w:rPr>
                <w:rFonts w:ascii="Cambria" w:hAnsi="Cambria"/>
                <w:sz w:val="20"/>
              </w:rPr>
              <w:t>[…]</w:t>
            </w:r>
          </w:p>
        </w:tc>
      </w:tr>
    </w:tbl>
    <w:p w14:paraId="71412DAA" w14:textId="77777777" w:rsidR="00D96EC6" w:rsidRPr="00B265F3" w:rsidRDefault="00D96EC6" w:rsidP="00D96EC6">
      <w:pPr>
        <w:ind w:left="720" w:right="720"/>
        <w:jc w:val="both"/>
        <w:textAlignment w:val="baseline"/>
        <w:rPr>
          <w:rFonts w:ascii="Cambria" w:eastAsia="Times New Roman" w:hAnsi="Cambria" w:cs="Segoe UI"/>
          <w:color w:val="000000"/>
          <w:sz w:val="18"/>
          <w:szCs w:val="18"/>
        </w:rPr>
      </w:pPr>
      <w:r w:rsidRPr="00B265F3">
        <w:rPr>
          <w:rFonts w:ascii="Cambria" w:hAnsi="Cambria"/>
          <w:color w:val="000000"/>
          <w:sz w:val="18"/>
        </w:rPr>
        <w:t> </w:t>
      </w:r>
    </w:p>
    <w:p w14:paraId="6C81B5A9" w14:textId="28229D35"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victims recognized in this Friendly Settlement Agreement shall benefit </w:t>
      </w:r>
      <w:proofErr w:type="gramStart"/>
      <w:r w:rsidRPr="00B265F3">
        <w:rPr>
          <w:rFonts w:ascii="Cambria" w:hAnsi="Cambria"/>
          <w:color w:val="000000"/>
          <w:sz w:val="20"/>
        </w:rPr>
        <w:t>provided that</w:t>
      </w:r>
      <w:proofErr w:type="gramEnd"/>
      <w:r w:rsidRPr="00B265F3">
        <w:rPr>
          <w:rFonts w:ascii="Cambria" w:hAnsi="Cambria"/>
          <w:color w:val="000000"/>
          <w:sz w:val="20"/>
        </w:rPr>
        <w:t xml:space="preserve"> they prove the following in respect of the direct victims-- Luis Gerardo Toro Jiménez, José Davidson Toro Ortiz, Robinson de Jesús Agudelo Toro, and Luis Gonzaga Toro Arcila--: (</w:t>
      </w:r>
      <w:proofErr w:type="spellStart"/>
      <w:r w:rsidRPr="00B265F3">
        <w:rPr>
          <w:rFonts w:ascii="Cambria" w:hAnsi="Cambria"/>
          <w:color w:val="000000"/>
          <w:sz w:val="20"/>
        </w:rPr>
        <w:t>i</w:t>
      </w:r>
      <w:proofErr w:type="spellEnd"/>
      <w:r w:rsidRPr="00B265F3">
        <w:rPr>
          <w:rFonts w:ascii="Cambria" w:hAnsi="Cambria"/>
          <w:color w:val="000000"/>
          <w:sz w:val="20"/>
        </w:rPr>
        <w:t>) relationship by affinity, i.e., spouse or common law partner (</w:t>
      </w:r>
      <w:proofErr w:type="spellStart"/>
      <w:r w:rsidRPr="00B265F3">
        <w:rPr>
          <w:rFonts w:ascii="Cambria" w:hAnsi="Cambria"/>
          <w:i/>
          <w:iCs/>
          <w:color w:val="000000"/>
          <w:sz w:val="20"/>
        </w:rPr>
        <w:t>compañero</w:t>
      </w:r>
      <w:proofErr w:type="spellEnd"/>
      <w:r w:rsidRPr="00B265F3">
        <w:rPr>
          <w:rFonts w:ascii="Cambria" w:hAnsi="Cambria"/>
          <w:i/>
          <w:iCs/>
          <w:color w:val="000000"/>
          <w:sz w:val="20"/>
        </w:rPr>
        <w:t xml:space="preserve"> o </w:t>
      </w:r>
      <w:proofErr w:type="spellStart"/>
      <w:r w:rsidRPr="00B265F3">
        <w:rPr>
          <w:rFonts w:ascii="Cambria" w:hAnsi="Cambria"/>
          <w:i/>
          <w:iCs/>
          <w:color w:val="000000"/>
          <w:sz w:val="20"/>
        </w:rPr>
        <w:t>compañera</w:t>
      </w:r>
      <w:proofErr w:type="spellEnd"/>
      <w:r w:rsidRPr="00B265F3">
        <w:rPr>
          <w:rFonts w:ascii="Cambria" w:hAnsi="Cambria"/>
          <w:i/>
          <w:iCs/>
          <w:color w:val="000000"/>
          <w:sz w:val="20"/>
        </w:rPr>
        <w:t xml:space="preserve"> </w:t>
      </w:r>
      <w:proofErr w:type="spellStart"/>
      <w:r w:rsidRPr="00B265F3">
        <w:rPr>
          <w:rFonts w:ascii="Cambria" w:hAnsi="Cambria"/>
          <w:i/>
          <w:iCs/>
          <w:color w:val="000000"/>
          <w:sz w:val="20"/>
        </w:rPr>
        <w:t>permanente</w:t>
      </w:r>
      <w:proofErr w:type="spellEnd"/>
      <w:r w:rsidRPr="00B265F3">
        <w:rPr>
          <w:rFonts w:ascii="Cambria" w:hAnsi="Cambria"/>
          <w:color w:val="000000"/>
          <w:sz w:val="20"/>
        </w:rPr>
        <w:t>), or (ii) blood relationship (consanguinity). </w:t>
      </w:r>
    </w:p>
    <w:p w14:paraId="47230B9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268112DA" w14:textId="3739038B"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Additionally, the victims who will benefit from this Friendly Settlement Agreement will be those who were alive at the time of the victimizing event</w:t>
      </w:r>
      <w:r w:rsidRPr="00B265F3">
        <w:rPr>
          <w:rStyle w:val="FootnoteReference"/>
          <w:rFonts w:ascii="Cambria" w:eastAsia="Times New Roman" w:hAnsi="Cambria" w:cs="Segoe UI"/>
          <w:color w:val="000000"/>
          <w:sz w:val="20"/>
          <w:szCs w:val="20"/>
          <w:lang w:val="es-CO"/>
        </w:rPr>
        <w:footnoteReference w:id="18"/>
      </w:r>
      <w:r w:rsidRPr="00B265F3">
        <w:rPr>
          <w:rFonts w:ascii="Cambria" w:hAnsi="Cambria"/>
          <w:color w:val="000000"/>
          <w:sz w:val="20"/>
        </w:rPr>
        <w:t xml:space="preserve"> and </w:t>
      </w:r>
      <w:r w:rsidR="00D113FD" w:rsidRPr="00B265F3">
        <w:rPr>
          <w:rFonts w:ascii="Cambria" w:hAnsi="Cambria"/>
          <w:color w:val="000000"/>
          <w:sz w:val="20"/>
        </w:rPr>
        <w:t>remain</w:t>
      </w:r>
      <w:r w:rsidRPr="00B265F3">
        <w:rPr>
          <w:rFonts w:ascii="Cambria" w:hAnsi="Cambria"/>
          <w:color w:val="000000"/>
          <w:sz w:val="20"/>
        </w:rPr>
        <w:t xml:space="preserve"> alive </w:t>
      </w:r>
      <w:r w:rsidR="00D113FD" w:rsidRPr="00B265F3">
        <w:rPr>
          <w:rFonts w:ascii="Cambria" w:hAnsi="Cambria"/>
          <w:color w:val="000000"/>
          <w:sz w:val="20"/>
        </w:rPr>
        <w:t xml:space="preserve">as </w:t>
      </w:r>
      <w:r w:rsidRPr="00B265F3">
        <w:rPr>
          <w:rFonts w:ascii="Cambria" w:hAnsi="Cambria"/>
          <w:color w:val="000000"/>
          <w:sz w:val="20"/>
        </w:rPr>
        <w:t>of the signing of the Agreement.   </w:t>
      </w:r>
    </w:p>
    <w:p w14:paraId="40BCEAFE"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2A8FFC26"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PART FOUR: ACKNOWLEDGMENT OF RESPONSIBILITY</w:t>
      </w:r>
      <w:r w:rsidRPr="00B265F3">
        <w:rPr>
          <w:rFonts w:ascii="Cambria" w:hAnsi="Cambria"/>
          <w:color w:val="000000"/>
          <w:sz w:val="20"/>
        </w:rPr>
        <w:t> </w:t>
      </w:r>
    </w:p>
    <w:p w14:paraId="70C90A87"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BA5DD3E" w14:textId="2149CAA8"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Colombian State acknowledges its international responsibility by omission, for violation of the right to personal integrity (Article 5.1) in relation to the rights to judicial guarantees (Article 8.1) and to judicial protection (Article 25.1) established in the American Convention on Human Rights, in conjunction with the general obligation to respect rights (Article 1.1. of the same instrument), to the detriment of the </w:t>
      </w:r>
      <w:r w:rsidR="00D113FD" w:rsidRPr="00B265F3">
        <w:rPr>
          <w:rFonts w:ascii="Cambria" w:hAnsi="Cambria"/>
          <w:color w:val="000000"/>
          <w:sz w:val="20"/>
        </w:rPr>
        <w:t xml:space="preserve">family members </w:t>
      </w:r>
      <w:r w:rsidRPr="00B265F3">
        <w:rPr>
          <w:rFonts w:ascii="Cambria" w:hAnsi="Cambria"/>
          <w:color w:val="000000"/>
          <w:sz w:val="20"/>
        </w:rPr>
        <w:t>of Luis Gerardo Toro Jiménez, José Davidson Toro Ortiz, Robinson de Jesús Agudelo Toro, and Luis Gonzaga Toro Arcila, due to the lack of diligence in the investigation of the events that occurred, which has prevented their clarification and the punishment of those responsible, and has caused them suffering and anguish.  </w:t>
      </w:r>
    </w:p>
    <w:p w14:paraId="55258BA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1C6AA649"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PART FIVE: MEASURES OF SATISFACTION</w:t>
      </w:r>
      <w:r w:rsidRPr="00B265F3">
        <w:rPr>
          <w:rFonts w:ascii="Cambria" w:hAnsi="Cambria"/>
          <w:color w:val="000000"/>
          <w:sz w:val="20"/>
        </w:rPr>
        <w:t> </w:t>
      </w:r>
    </w:p>
    <w:p w14:paraId="427A0F98"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FB50239" w14:textId="6E2259A2"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parties </w:t>
      </w:r>
      <w:r w:rsidR="00D113FD" w:rsidRPr="00B265F3">
        <w:rPr>
          <w:rFonts w:ascii="Cambria" w:hAnsi="Cambria"/>
          <w:color w:val="000000"/>
          <w:sz w:val="20"/>
        </w:rPr>
        <w:t xml:space="preserve">agree </w:t>
      </w:r>
      <w:r w:rsidRPr="00B265F3">
        <w:rPr>
          <w:rFonts w:ascii="Cambria" w:hAnsi="Cambria"/>
          <w:color w:val="000000"/>
          <w:sz w:val="20"/>
        </w:rPr>
        <w:t xml:space="preserve">that, within the framework of this Agreement, the following measures </w:t>
      </w:r>
      <w:r w:rsidR="00D113FD" w:rsidRPr="00B265F3">
        <w:rPr>
          <w:rFonts w:ascii="Cambria" w:hAnsi="Cambria"/>
          <w:color w:val="000000"/>
          <w:sz w:val="20"/>
        </w:rPr>
        <w:t xml:space="preserve">of satisfaction </w:t>
      </w:r>
      <w:r w:rsidRPr="00B265F3">
        <w:rPr>
          <w:rFonts w:ascii="Cambria" w:hAnsi="Cambria"/>
          <w:color w:val="000000"/>
          <w:sz w:val="20"/>
        </w:rPr>
        <w:t>shall be undertaken:  </w:t>
      </w:r>
    </w:p>
    <w:p w14:paraId="3E2333E7"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78AEDAC" w14:textId="36D584AD" w:rsidR="00D96EC6" w:rsidRPr="00B265F3" w:rsidRDefault="00D96EC6" w:rsidP="002341A5">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sz w:val="20"/>
          <w:szCs w:val="20"/>
        </w:rPr>
      </w:pPr>
      <w:r w:rsidRPr="00B265F3">
        <w:rPr>
          <w:b/>
          <w:sz w:val="20"/>
        </w:rPr>
        <w:t>A</w:t>
      </w:r>
      <w:r w:rsidR="00D113FD" w:rsidRPr="00B265F3">
        <w:rPr>
          <w:b/>
          <w:sz w:val="20"/>
        </w:rPr>
        <w:t>ct of A</w:t>
      </w:r>
      <w:r w:rsidRPr="00B265F3">
        <w:rPr>
          <w:b/>
          <w:sz w:val="20"/>
        </w:rPr>
        <w:t>cknowledgment of Responsibility: </w:t>
      </w:r>
      <w:r w:rsidRPr="00B265F3">
        <w:rPr>
          <w:sz w:val="20"/>
        </w:rPr>
        <w:t> </w:t>
      </w:r>
    </w:p>
    <w:p w14:paraId="57CCC7A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6137E1F" w14:textId="384FBF2F"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Colombian State will </w:t>
      </w:r>
      <w:r w:rsidR="00D113FD" w:rsidRPr="00B265F3">
        <w:rPr>
          <w:rFonts w:ascii="Cambria" w:hAnsi="Cambria"/>
          <w:color w:val="000000"/>
          <w:sz w:val="20"/>
        </w:rPr>
        <w:t xml:space="preserve">hold </w:t>
      </w:r>
      <w:r w:rsidRPr="00B265F3">
        <w:rPr>
          <w:rFonts w:ascii="Cambria" w:hAnsi="Cambria"/>
          <w:color w:val="000000"/>
          <w:sz w:val="20"/>
        </w:rPr>
        <w:t>an Act of Acknowledgment of Responsibility, which will be carried out virtually with the participation of the petitioners and the victims' relatives. The act shall be performed in accordance with the acknowledgment of responsibility set forth in this Agreement.   </w:t>
      </w:r>
    </w:p>
    <w:p w14:paraId="14DA5729"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174E88F4" w14:textId="66663BD9"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National Agency for the Legal Defense of the State shall be responsible for the </w:t>
      </w:r>
      <w:r w:rsidR="00D113FD" w:rsidRPr="00B265F3">
        <w:rPr>
          <w:rFonts w:ascii="Cambria" w:hAnsi="Cambria"/>
          <w:color w:val="000000"/>
          <w:sz w:val="20"/>
        </w:rPr>
        <w:t xml:space="preserve">implementation </w:t>
      </w:r>
      <w:r w:rsidRPr="00B265F3">
        <w:rPr>
          <w:rFonts w:ascii="Cambria" w:hAnsi="Cambria"/>
          <w:color w:val="000000"/>
          <w:sz w:val="20"/>
        </w:rPr>
        <w:t>of this measure of satisfaction.  </w:t>
      </w:r>
    </w:p>
    <w:p w14:paraId="3AE8AFF0" w14:textId="77777777" w:rsidR="00D96EC6" w:rsidRDefault="00D96EC6" w:rsidP="00D96EC6">
      <w:pPr>
        <w:ind w:left="720" w:right="720"/>
        <w:jc w:val="both"/>
        <w:textAlignment w:val="baseline"/>
        <w:rPr>
          <w:rFonts w:ascii="Cambria" w:hAnsi="Cambria"/>
          <w:color w:val="000000"/>
          <w:sz w:val="20"/>
        </w:rPr>
      </w:pPr>
      <w:r w:rsidRPr="00B265F3">
        <w:rPr>
          <w:rFonts w:ascii="Cambria" w:hAnsi="Cambria"/>
          <w:color w:val="000000"/>
          <w:sz w:val="20"/>
        </w:rPr>
        <w:t> </w:t>
      </w:r>
    </w:p>
    <w:p w14:paraId="11A6E6D0" w14:textId="77777777" w:rsidR="00126D27" w:rsidRPr="00B265F3" w:rsidRDefault="00126D27" w:rsidP="00D96EC6">
      <w:pPr>
        <w:ind w:left="720" w:right="720"/>
        <w:jc w:val="both"/>
        <w:textAlignment w:val="baseline"/>
        <w:rPr>
          <w:rFonts w:ascii="Cambria" w:eastAsia="Times New Roman" w:hAnsi="Cambria" w:cs="Segoe UI"/>
          <w:color w:val="000000"/>
          <w:sz w:val="20"/>
          <w:szCs w:val="20"/>
        </w:rPr>
      </w:pPr>
    </w:p>
    <w:p w14:paraId="0BB265FA" w14:textId="77777777" w:rsidR="00D96EC6" w:rsidRPr="00B265F3" w:rsidRDefault="00D96EC6" w:rsidP="002341A5">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sz w:val="20"/>
          <w:szCs w:val="20"/>
        </w:rPr>
      </w:pPr>
      <w:r w:rsidRPr="00B265F3">
        <w:rPr>
          <w:b/>
          <w:sz w:val="20"/>
        </w:rPr>
        <w:lastRenderedPageBreak/>
        <w:t>Publication of the Article 49 Report: </w:t>
      </w:r>
      <w:r w:rsidRPr="00B265F3">
        <w:rPr>
          <w:sz w:val="20"/>
        </w:rPr>
        <w:t> </w:t>
      </w:r>
    </w:p>
    <w:p w14:paraId="55FEEEDA"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301E0287" w14:textId="7B12E27F"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The Colombian State shall publish the pertinent sections of the friendly settlement report, once it has been approved by the Inter-American Commission, on the web</w:t>
      </w:r>
      <w:r w:rsidR="00D113FD" w:rsidRPr="00B265F3">
        <w:rPr>
          <w:rFonts w:ascii="Cambria" w:hAnsi="Cambria"/>
          <w:color w:val="000000"/>
          <w:sz w:val="20"/>
        </w:rPr>
        <w:t>sites</w:t>
      </w:r>
      <w:r w:rsidRPr="00B265F3">
        <w:rPr>
          <w:rFonts w:ascii="Cambria" w:hAnsi="Cambria"/>
          <w:color w:val="000000"/>
          <w:sz w:val="20"/>
        </w:rPr>
        <w:t xml:space="preserve"> of the National Agency for the Legal Defense of the State, for a period of six (6) months.   </w:t>
      </w:r>
    </w:p>
    <w:p w14:paraId="0A53CD03"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BECA902" w14:textId="77777777" w:rsidR="00D96EC6" w:rsidRPr="00B265F3" w:rsidRDefault="00D96EC6" w:rsidP="002341A5">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sz w:val="20"/>
          <w:szCs w:val="20"/>
        </w:rPr>
      </w:pPr>
      <w:r w:rsidRPr="00B265F3">
        <w:rPr>
          <w:b/>
          <w:sz w:val="20"/>
        </w:rPr>
        <w:t>Educational Financial Aid:</w:t>
      </w:r>
      <w:r w:rsidRPr="00B265F3">
        <w:rPr>
          <w:sz w:val="20"/>
        </w:rPr>
        <w:t> </w:t>
      </w:r>
    </w:p>
    <w:p w14:paraId="511C7F0D" w14:textId="77777777" w:rsidR="00D96EC6" w:rsidRPr="00B265F3" w:rsidRDefault="00D96EC6" w:rsidP="00D96EC6">
      <w:pPr>
        <w:ind w:left="720" w:right="720" w:firstLine="36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D4300F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The Colombian State, through the Ministry of National Education and the Colombian Institute of Educational Credit and Technical Studies Abroad, ICETEX, will provide five (5) educational grants to five family members of the victims included as beneficiaries of this Friendly Settlement Agreement.</w:t>
      </w:r>
      <w:r w:rsidRPr="00B265F3">
        <w:rPr>
          <w:rStyle w:val="FootnoteReference"/>
          <w:rFonts w:ascii="Cambria" w:eastAsia="Times New Roman" w:hAnsi="Cambria" w:cs="Segoe UI"/>
          <w:color w:val="000000"/>
          <w:sz w:val="20"/>
          <w:szCs w:val="20"/>
          <w:lang w:val="es-CO"/>
        </w:rPr>
        <w:footnoteReference w:id="19"/>
      </w:r>
      <w:r w:rsidRPr="00B265F3">
        <w:rPr>
          <w:rFonts w:ascii="Cambria" w:hAnsi="Cambria"/>
          <w:color w:val="000000"/>
          <w:sz w:val="20"/>
        </w:rPr>
        <w:t>  </w:t>
      </w:r>
    </w:p>
    <w:p w14:paraId="1E881AFC"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67FEB91" w14:textId="09984CB4"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To enact the measure in Colombia, each grant will cover the cost of </w:t>
      </w:r>
      <w:r w:rsidR="00D113FD" w:rsidRPr="00B265F3">
        <w:rPr>
          <w:rFonts w:ascii="Cambria" w:hAnsi="Cambria"/>
          <w:color w:val="000000"/>
          <w:sz w:val="20"/>
        </w:rPr>
        <w:t xml:space="preserve">the </w:t>
      </w:r>
      <w:r w:rsidRPr="00B265F3">
        <w:rPr>
          <w:rFonts w:ascii="Cambria" w:hAnsi="Cambria"/>
          <w:color w:val="000000"/>
          <w:sz w:val="20"/>
        </w:rPr>
        <w:t xml:space="preserve">tuition </w:t>
      </w:r>
      <w:r w:rsidR="00D113FD" w:rsidRPr="00B265F3">
        <w:rPr>
          <w:rFonts w:ascii="Cambria" w:hAnsi="Cambria"/>
          <w:color w:val="000000"/>
          <w:sz w:val="20"/>
        </w:rPr>
        <w:t xml:space="preserve">fees for the semesters of an academic program at </w:t>
      </w:r>
      <w:r w:rsidRPr="00B265F3">
        <w:rPr>
          <w:rFonts w:ascii="Cambria" w:hAnsi="Cambria"/>
          <w:color w:val="000000"/>
          <w:sz w:val="20"/>
        </w:rPr>
        <w:t xml:space="preserve">a professional, </w:t>
      </w:r>
      <w:r w:rsidR="00D113FD" w:rsidRPr="00B265F3">
        <w:rPr>
          <w:rFonts w:ascii="Cambria" w:hAnsi="Cambria"/>
          <w:color w:val="000000"/>
          <w:sz w:val="20"/>
        </w:rPr>
        <w:t xml:space="preserve">technical, </w:t>
      </w:r>
      <w:r w:rsidRPr="00B265F3">
        <w:rPr>
          <w:rFonts w:ascii="Cambria" w:hAnsi="Cambria"/>
          <w:color w:val="000000"/>
          <w:sz w:val="20"/>
        </w:rPr>
        <w:t>technological, university, or graduate-level technical program in a Higher Education Institution in Colombia recognized by the Ministry of National Education,</w:t>
      </w:r>
      <w:r w:rsidR="00D113FD" w:rsidRPr="00B265F3">
        <w:rPr>
          <w:rFonts w:ascii="Cambria" w:hAnsi="Cambria"/>
          <w:color w:val="000000"/>
          <w:sz w:val="20"/>
        </w:rPr>
        <w:t xml:space="preserve"> in a </w:t>
      </w:r>
      <w:proofErr w:type="spellStart"/>
      <w:r w:rsidR="00D113FD" w:rsidRPr="00B265F3">
        <w:rPr>
          <w:rFonts w:ascii="Cambria" w:hAnsi="Cambria"/>
          <w:color w:val="000000"/>
          <w:sz w:val="20"/>
        </w:rPr>
        <w:t>on site</w:t>
      </w:r>
      <w:proofErr w:type="spellEnd"/>
      <w:r w:rsidR="00D113FD" w:rsidRPr="00B265F3">
        <w:rPr>
          <w:rFonts w:ascii="Cambria" w:hAnsi="Cambria"/>
          <w:color w:val="000000"/>
          <w:sz w:val="20"/>
        </w:rPr>
        <w:t xml:space="preserve"> or virtual format,</w:t>
      </w:r>
      <w:r w:rsidRPr="00B265F3">
        <w:rPr>
          <w:rFonts w:ascii="Cambria" w:hAnsi="Cambria"/>
          <w:color w:val="000000"/>
          <w:sz w:val="20"/>
        </w:rPr>
        <w:t xml:space="preserve"> up to an amount equivalent to eleven (11) legal minimum wages per semester </w:t>
      </w:r>
      <w:r w:rsidR="00D113FD" w:rsidRPr="00B265F3">
        <w:rPr>
          <w:rFonts w:ascii="Cambria" w:hAnsi="Cambria"/>
          <w:color w:val="000000"/>
          <w:sz w:val="20"/>
        </w:rPr>
        <w:t xml:space="preserve">and </w:t>
      </w:r>
      <w:r w:rsidRPr="00B265F3">
        <w:rPr>
          <w:rFonts w:ascii="Cambria" w:hAnsi="Cambria"/>
          <w:color w:val="000000"/>
          <w:sz w:val="20"/>
        </w:rPr>
        <w:t>a support grant in the amount of two (2) legal minimum wages per semester if the Higher Education Institution is located in the municipality of residence of the beneficiary or four (4) legal minimum wages if the Higher Education Institution is outside the municipality in which the beneficiary resides.  </w:t>
      </w:r>
    </w:p>
    <w:p w14:paraId="547D1874"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E2000DE" w14:textId="24F8E924"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Those who study abroad must prove that they </w:t>
      </w:r>
      <w:r w:rsidR="00D113FD" w:rsidRPr="00B265F3">
        <w:rPr>
          <w:rFonts w:ascii="Cambria" w:hAnsi="Cambria"/>
          <w:color w:val="000000"/>
          <w:sz w:val="20"/>
        </w:rPr>
        <w:t xml:space="preserve">have legal residence </w:t>
      </w:r>
      <w:r w:rsidRPr="00B265F3">
        <w:rPr>
          <w:rFonts w:ascii="Cambria" w:hAnsi="Cambria"/>
          <w:color w:val="000000"/>
          <w:sz w:val="20"/>
        </w:rPr>
        <w:t>in the country where they wish to study</w:t>
      </w:r>
      <w:r w:rsidRPr="00B265F3">
        <w:rPr>
          <w:rStyle w:val="FootnoteReference"/>
          <w:rFonts w:ascii="Cambria" w:eastAsia="Times New Roman" w:hAnsi="Cambria" w:cs="Segoe UI"/>
          <w:color w:val="000000"/>
          <w:sz w:val="20"/>
          <w:szCs w:val="20"/>
          <w:lang w:val="es-ES"/>
        </w:rPr>
        <w:footnoteReference w:id="20"/>
      </w:r>
      <w:r w:rsidRPr="00B265F3">
        <w:rPr>
          <w:rFonts w:ascii="Cambria" w:hAnsi="Cambria"/>
          <w:color w:val="000000"/>
          <w:sz w:val="20"/>
        </w:rPr>
        <w:t xml:space="preserve"> and that they have been admitted to a Higher Education Institution recognized by the country of residence, in a professional, university, or postgraduate-level education program. The ceiling for each of these overseas allowances will be as follows:  </w:t>
      </w:r>
    </w:p>
    <w:p w14:paraId="0CCE1F9D"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A9F9124" w14:textId="5476921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Tuition in Higher Education Institutions in professional, university, or postgraduate programs </w:t>
      </w:r>
      <w:r w:rsidR="00D113FD" w:rsidRPr="00B265F3">
        <w:rPr>
          <w:rFonts w:ascii="Cambria" w:hAnsi="Cambria"/>
          <w:color w:val="000000"/>
          <w:sz w:val="20"/>
        </w:rPr>
        <w:t xml:space="preserve">will be up to </w:t>
      </w:r>
      <w:r w:rsidRPr="00B265F3">
        <w:rPr>
          <w:rFonts w:ascii="Cambria" w:hAnsi="Cambria"/>
          <w:color w:val="000000"/>
          <w:sz w:val="20"/>
        </w:rPr>
        <w:t xml:space="preserve">one hundred and twenty-eight (128) legal minimum wages per person in total, and an additional support </w:t>
      </w:r>
      <w:r w:rsidR="00D113FD" w:rsidRPr="00B265F3">
        <w:rPr>
          <w:rFonts w:ascii="Cambria" w:hAnsi="Cambria"/>
          <w:color w:val="000000"/>
          <w:sz w:val="20"/>
        </w:rPr>
        <w:t xml:space="preserve">grant </w:t>
      </w:r>
      <w:r w:rsidRPr="00B265F3">
        <w:rPr>
          <w:rFonts w:ascii="Cambria" w:hAnsi="Cambria"/>
          <w:color w:val="000000"/>
          <w:sz w:val="20"/>
        </w:rPr>
        <w:t xml:space="preserve">of one (1) legal minimum wage of the country of residence. In all cases, </w:t>
      </w:r>
      <w:r w:rsidR="00D113FD" w:rsidRPr="00B265F3">
        <w:rPr>
          <w:rFonts w:ascii="Cambria" w:hAnsi="Cambria"/>
          <w:color w:val="000000"/>
          <w:sz w:val="20"/>
        </w:rPr>
        <w:t xml:space="preserve">the </w:t>
      </w:r>
      <w:r w:rsidRPr="00B265F3">
        <w:rPr>
          <w:rFonts w:ascii="Cambria" w:hAnsi="Cambria"/>
          <w:color w:val="000000"/>
          <w:sz w:val="20"/>
        </w:rPr>
        <w:t xml:space="preserve">support will be provided on a </w:t>
      </w:r>
      <w:r w:rsidR="00D113FD" w:rsidRPr="00B265F3">
        <w:rPr>
          <w:rFonts w:ascii="Cambria" w:hAnsi="Cambria"/>
          <w:color w:val="000000"/>
          <w:sz w:val="20"/>
        </w:rPr>
        <w:t xml:space="preserve">semester </w:t>
      </w:r>
      <w:r w:rsidRPr="00B265F3">
        <w:rPr>
          <w:rFonts w:ascii="Cambria" w:hAnsi="Cambria"/>
          <w:color w:val="000000"/>
          <w:sz w:val="20"/>
        </w:rPr>
        <w:t>basis.  </w:t>
      </w:r>
    </w:p>
    <w:p w14:paraId="368FFA61" w14:textId="77777777" w:rsidR="00D96EC6" w:rsidRPr="00B265F3" w:rsidRDefault="00D96EC6" w:rsidP="00D96EC6">
      <w:pPr>
        <w:ind w:left="720" w:right="720"/>
        <w:textAlignment w:val="baseline"/>
        <w:rPr>
          <w:rFonts w:ascii="Cambria" w:eastAsia="Times New Roman" w:hAnsi="Cambria" w:cs="Segoe UI"/>
          <w:color w:val="000000"/>
          <w:sz w:val="20"/>
          <w:szCs w:val="20"/>
        </w:rPr>
      </w:pPr>
      <w:r w:rsidRPr="00B265F3">
        <w:rPr>
          <w:rFonts w:ascii="Cambria" w:hAnsi="Cambria"/>
          <w:color w:val="000000"/>
          <w:sz w:val="20"/>
        </w:rPr>
        <w:t>  </w:t>
      </w:r>
    </w:p>
    <w:p w14:paraId="4C852F15" w14:textId="46CF45E8" w:rsidR="00D96EC6" w:rsidRPr="00B265F3" w:rsidRDefault="00D113FD"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Within the </w:t>
      </w:r>
      <w:proofErr w:type="spellStart"/>
      <w:r w:rsidRPr="00B265F3">
        <w:rPr>
          <w:rFonts w:ascii="Cambria" w:hAnsi="Cambria"/>
          <w:color w:val="000000"/>
          <w:sz w:val="20"/>
        </w:rPr>
        <w:t>frameworl</w:t>
      </w:r>
      <w:proofErr w:type="spellEnd"/>
      <w:r w:rsidRPr="00B265F3">
        <w:rPr>
          <w:rFonts w:ascii="Cambria" w:hAnsi="Cambria"/>
          <w:color w:val="000000"/>
          <w:sz w:val="20"/>
        </w:rPr>
        <w:t xml:space="preserve"> of university </w:t>
      </w:r>
      <w:r w:rsidR="00D96EC6" w:rsidRPr="00B265F3">
        <w:rPr>
          <w:rFonts w:ascii="Cambria" w:hAnsi="Cambria"/>
          <w:color w:val="000000"/>
          <w:sz w:val="20"/>
        </w:rPr>
        <w:t xml:space="preserve">autonomy, the Ministry of National Education shall refrain from managing or requesting Higher Education Institutions, whether in Colombia or abroad, </w:t>
      </w:r>
      <w:r w:rsidRPr="00B265F3">
        <w:rPr>
          <w:rFonts w:ascii="Cambria" w:hAnsi="Cambria"/>
          <w:color w:val="000000"/>
          <w:sz w:val="20"/>
        </w:rPr>
        <w:t xml:space="preserve">the admission or allocation of </w:t>
      </w:r>
      <w:r w:rsidR="00D96EC6" w:rsidRPr="00B265F3">
        <w:rPr>
          <w:rFonts w:ascii="Cambria" w:hAnsi="Cambria"/>
          <w:color w:val="000000"/>
          <w:sz w:val="20"/>
        </w:rPr>
        <w:t>students in academic programs. The beneficiaries must carry out the pertinent procedures to be admitted, ensuring that they meet the requirements needed to study the respective program and guaranteeing that they will stay long enough in the Higher Education Institution to ensure adequate academic performance.    </w:t>
      </w:r>
    </w:p>
    <w:p w14:paraId="2C6C1C49"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A85E653"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It is the sole responsibility of the beneficiaries of the measure to maintain their student status in the Higher Education Institution of their choice. If the beneficiary loses his/her status as a student due to poor academic performance, disciplinary misconduct, or any other circumstance attributable to him/her, the State shall be deemed to have fulfilled the measure in question.  </w:t>
      </w:r>
    </w:p>
    <w:p w14:paraId="0DE1D4C6"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2BAC6282" w14:textId="3113C30D"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grants must begin to be used </w:t>
      </w:r>
      <w:r w:rsidR="00D113FD" w:rsidRPr="00B265F3">
        <w:rPr>
          <w:rFonts w:ascii="Cambria" w:hAnsi="Cambria"/>
          <w:color w:val="000000"/>
          <w:sz w:val="20"/>
        </w:rPr>
        <w:t xml:space="preserve">within a term not exceeding </w:t>
      </w:r>
      <w:r w:rsidRPr="00B265F3">
        <w:rPr>
          <w:rFonts w:ascii="Cambria" w:hAnsi="Cambria"/>
          <w:color w:val="000000"/>
          <w:sz w:val="20"/>
        </w:rPr>
        <w:t xml:space="preserve">seven (7) years </w:t>
      </w:r>
      <w:r w:rsidR="00D113FD" w:rsidRPr="00B265F3">
        <w:rPr>
          <w:rFonts w:ascii="Cambria" w:hAnsi="Cambria"/>
          <w:color w:val="000000"/>
          <w:sz w:val="20"/>
        </w:rPr>
        <w:t xml:space="preserve">from the signature </w:t>
      </w:r>
      <w:r w:rsidRPr="00B265F3">
        <w:rPr>
          <w:rFonts w:ascii="Cambria" w:hAnsi="Cambria"/>
          <w:color w:val="000000"/>
          <w:sz w:val="20"/>
        </w:rPr>
        <w:t xml:space="preserve">of this agreement, otherwise the State's efforts to obtain them shall be deemed to have been </w:t>
      </w:r>
      <w:r w:rsidR="00D113FD" w:rsidRPr="00B265F3">
        <w:rPr>
          <w:rFonts w:ascii="Cambria" w:hAnsi="Cambria"/>
          <w:color w:val="000000"/>
          <w:sz w:val="20"/>
        </w:rPr>
        <w:t>fulfilled</w:t>
      </w:r>
      <w:r w:rsidRPr="00B265F3">
        <w:rPr>
          <w:rFonts w:ascii="Cambria" w:hAnsi="Cambria"/>
          <w:color w:val="000000"/>
          <w:sz w:val="20"/>
        </w:rPr>
        <w:t>.  </w:t>
      </w:r>
    </w:p>
    <w:p w14:paraId="0F4BE00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6CDD6AD7"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This measure will be implemented by the Ministry of Education and the Colombian Institute of Credit and Technical Studies (ICETEX).</w:t>
      </w:r>
      <w:r w:rsidRPr="00B265F3">
        <w:rPr>
          <w:rStyle w:val="FootnoteReference"/>
          <w:rFonts w:ascii="Cambria" w:eastAsia="Times New Roman" w:hAnsi="Cambria" w:cs="Segoe UI"/>
          <w:color w:val="000000"/>
          <w:sz w:val="20"/>
          <w:szCs w:val="20"/>
          <w:lang w:val="es-ES"/>
        </w:rPr>
        <w:footnoteReference w:id="21"/>
      </w:r>
      <w:r w:rsidRPr="00B265F3">
        <w:rPr>
          <w:rFonts w:ascii="Cambria" w:hAnsi="Cambria"/>
          <w:color w:val="000000"/>
          <w:sz w:val="20"/>
        </w:rPr>
        <w:t> </w:t>
      </w:r>
    </w:p>
    <w:p w14:paraId="0558AA34"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lastRenderedPageBreak/>
        <w:t> </w:t>
      </w:r>
    </w:p>
    <w:p w14:paraId="3586362D" w14:textId="77777777" w:rsidR="00D96EC6" w:rsidRPr="00B265F3" w:rsidRDefault="00D96EC6" w:rsidP="002341A5">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textAlignment w:val="baseline"/>
        <w:rPr>
          <w:rFonts w:eastAsia="Times New Roman" w:cs="Segoe UI"/>
          <w:sz w:val="20"/>
          <w:szCs w:val="20"/>
        </w:rPr>
      </w:pPr>
      <w:r w:rsidRPr="00B265F3">
        <w:rPr>
          <w:b/>
          <w:sz w:val="20"/>
        </w:rPr>
        <w:t>Working Groups with the Ministry of Housing, City, and Territory: </w:t>
      </w:r>
      <w:r w:rsidRPr="00B265F3">
        <w:rPr>
          <w:sz w:val="20"/>
        </w:rPr>
        <w:t> </w:t>
      </w:r>
    </w:p>
    <w:p w14:paraId="78D93968"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07C3B8C" w14:textId="53ADB09A"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Colombian State, through the Ministry of Housing, City, and Territory, will hold three (3) round tables with the beneficiaries of the Friendly Settlement Agreement, if so </w:t>
      </w:r>
      <w:r w:rsidR="00D113FD" w:rsidRPr="00B265F3">
        <w:rPr>
          <w:rFonts w:ascii="Cambria" w:hAnsi="Cambria"/>
          <w:color w:val="000000"/>
          <w:sz w:val="20"/>
        </w:rPr>
        <w:t>desired</w:t>
      </w:r>
      <w:r w:rsidRPr="00B265F3">
        <w:rPr>
          <w:rFonts w:ascii="Cambria" w:hAnsi="Cambria"/>
          <w:color w:val="000000"/>
          <w:sz w:val="20"/>
        </w:rPr>
        <w:t xml:space="preserve">, </w:t>
      </w:r>
      <w:r w:rsidR="00D113FD" w:rsidRPr="00B265F3">
        <w:rPr>
          <w:rFonts w:ascii="Cambria" w:hAnsi="Cambria"/>
          <w:color w:val="000000"/>
          <w:sz w:val="20"/>
        </w:rPr>
        <w:t xml:space="preserve">with the purpose of explaining the institutional offer established by </w:t>
      </w:r>
      <w:r w:rsidRPr="00B265F3">
        <w:rPr>
          <w:rFonts w:ascii="Cambria" w:hAnsi="Cambria"/>
          <w:color w:val="000000"/>
          <w:sz w:val="20"/>
        </w:rPr>
        <w:t>the Colombian state in terms of access to housing programs, including the requirements and ways to apply for these benefits.  </w:t>
      </w:r>
    </w:p>
    <w:p w14:paraId="790551EE"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C252320" w14:textId="483EC0AB"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implementation of this measure will not </w:t>
      </w:r>
      <w:r w:rsidR="00D113FD" w:rsidRPr="00B265F3">
        <w:rPr>
          <w:rFonts w:ascii="Cambria" w:hAnsi="Cambria"/>
          <w:color w:val="000000"/>
          <w:sz w:val="20"/>
        </w:rPr>
        <w:t xml:space="preserve">imply </w:t>
      </w:r>
      <w:r w:rsidRPr="00B265F3">
        <w:rPr>
          <w:rFonts w:ascii="Cambria" w:hAnsi="Cambria"/>
          <w:color w:val="000000"/>
          <w:sz w:val="20"/>
        </w:rPr>
        <w:t xml:space="preserve">granting the beneficiaries </w:t>
      </w:r>
      <w:r w:rsidR="00D113FD" w:rsidRPr="00B265F3">
        <w:rPr>
          <w:rFonts w:ascii="Cambria" w:hAnsi="Cambria"/>
          <w:color w:val="000000"/>
          <w:sz w:val="20"/>
        </w:rPr>
        <w:t xml:space="preserve">with </w:t>
      </w:r>
      <w:r w:rsidRPr="00B265F3">
        <w:rPr>
          <w:rFonts w:ascii="Cambria" w:hAnsi="Cambria"/>
          <w:color w:val="000000"/>
          <w:sz w:val="20"/>
        </w:rPr>
        <w:t>family o</w:t>
      </w:r>
      <w:r w:rsidR="00D113FD" w:rsidRPr="00B265F3">
        <w:rPr>
          <w:rFonts w:ascii="Cambria" w:hAnsi="Cambria"/>
          <w:color w:val="000000"/>
          <w:sz w:val="20"/>
        </w:rPr>
        <w:t>r</w:t>
      </w:r>
      <w:r w:rsidRPr="00B265F3">
        <w:rPr>
          <w:rFonts w:ascii="Cambria" w:hAnsi="Cambria"/>
          <w:color w:val="000000"/>
          <w:sz w:val="20"/>
        </w:rPr>
        <w:t xml:space="preserve"> housing subsidies in kind or housing improvements, since </w:t>
      </w:r>
      <w:r w:rsidR="00D113FD" w:rsidRPr="00B265F3">
        <w:rPr>
          <w:rFonts w:ascii="Cambria" w:hAnsi="Cambria"/>
          <w:color w:val="000000"/>
          <w:sz w:val="20"/>
        </w:rPr>
        <w:t xml:space="preserve">the above </w:t>
      </w:r>
      <w:r w:rsidRPr="00B265F3">
        <w:rPr>
          <w:rFonts w:ascii="Cambria" w:hAnsi="Cambria"/>
          <w:color w:val="000000"/>
          <w:sz w:val="20"/>
        </w:rPr>
        <w:t xml:space="preserve">will depend on the beneficiaries' willingness to access any of the programs included in the </w:t>
      </w:r>
      <w:r w:rsidR="00D113FD" w:rsidRPr="00B265F3">
        <w:rPr>
          <w:rFonts w:ascii="Cambria" w:hAnsi="Cambria"/>
          <w:color w:val="000000"/>
          <w:sz w:val="20"/>
        </w:rPr>
        <w:t xml:space="preserve">institutional </w:t>
      </w:r>
      <w:r w:rsidRPr="00B265F3">
        <w:rPr>
          <w:rFonts w:ascii="Cambria" w:hAnsi="Cambria"/>
          <w:color w:val="000000"/>
          <w:sz w:val="20"/>
        </w:rPr>
        <w:t>offer, as well as fulfillment of the corresponding requirements within the deadlines established in each program. </w:t>
      </w:r>
    </w:p>
    <w:p w14:paraId="17C172A5"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7357EC9E"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This measure will be implemented upon signature of the Friendly Settlement Agreement.</w:t>
      </w:r>
      <w:r w:rsidRPr="00B265F3">
        <w:rPr>
          <w:rStyle w:val="FootnoteReference"/>
          <w:rFonts w:ascii="Cambria" w:eastAsia="Times New Roman" w:hAnsi="Cambria" w:cs="Segoe UI"/>
          <w:color w:val="000000"/>
          <w:sz w:val="20"/>
          <w:szCs w:val="20"/>
          <w:lang w:val="es-CO"/>
        </w:rPr>
        <w:footnoteReference w:id="22"/>
      </w:r>
      <w:r w:rsidRPr="00B265F3">
        <w:rPr>
          <w:rFonts w:ascii="Cambria" w:hAnsi="Cambria"/>
          <w:color w:val="000000"/>
          <w:sz w:val="20"/>
        </w:rPr>
        <w:t>  </w:t>
      </w:r>
    </w:p>
    <w:p w14:paraId="0F1D70F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7782BE04"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PART SIX: JUSTICE SYSTEM MEASURES</w:t>
      </w:r>
      <w:r w:rsidRPr="00B265F3">
        <w:rPr>
          <w:rFonts w:ascii="Cambria" w:hAnsi="Cambria"/>
          <w:color w:val="000000"/>
          <w:sz w:val="20"/>
        </w:rPr>
        <w:t> </w:t>
      </w:r>
    </w:p>
    <w:p w14:paraId="6DC091F1"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color w:val="000000"/>
          <w:sz w:val="20"/>
        </w:rPr>
        <w:t> </w:t>
      </w:r>
    </w:p>
    <w:p w14:paraId="0FABB95F" w14:textId="77940A32"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Attorney General's Office, within the framework of its sphere of competence, will continue to carry out with due diligence the judicial actions needed to advance investigation number 76111600024720220000001, to </w:t>
      </w:r>
      <w:r w:rsidR="00D113FD" w:rsidRPr="00B265F3">
        <w:rPr>
          <w:rFonts w:ascii="Cambria" w:hAnsi="Cambria"/>
          <w:color w:val="000000"/>
          <w:sz w:val="20"/>
        </w:rPr>
        <w:t xml:space="preserve">achieve the full establishment </w:t>
      </w:r>
      <w:r w:rsidRPr="00B265F3">
        <w:rPr>
          <w:rFonts w:ascii="Cambria" w:hAnsi="Cambria"/>
          <w:color w:val="000000"/>
          <w:sz w:val="20"/>
        </w:rPr>
        <w:t>o</w:t>
      </w:r>
      <w:r w:rsidR="00D113FD" w:rsidRPr="00B265F3">
        <w:rPr>
          <w:rFonts w:ascii="Cambria" w:hAnsi="Cambria"/>
          <w:color w:val="000000"/>
          <w:sz w:val="20"/>
        </w:rPr>
        <w:t xml:space="preserve">f </w:t>
      </w:r>
      <w:r w:rsidRPr="00B265F3">
        <w:rPr>
          <w:rFonts w:ascii="Cambria" w:hAnsi="Cambria"/>
          <w:color w:val="000000"/>
          <w:sz w:val="20"/>
        </w:rPr>
        <w:t xml:space="preserve">the facts and, </w:t>
      </w:r>
      <w:r w:rsidR="00D113FD" w:rsidRPr="00B265F3">
        <w:rPr>
          <w:rFonts w:ascii="Cambria" w:hAnsi="Cambria"/>
          <w:color w:val="000000"/>
          <w:sz w:val="20"/>
        </w:rPr>
        <w:t xml:space="preserve">the possible identification and individualization of </w:t>
      </w:r>
      <w:r w:rsidRPr="00B265F3">
        <w:rPr>
          <w:rFonts w:ascii="Cambria" w:hAnsi="Cambria"/>
          <w:color w:val="000000"/>
          <w:sz w:val="20"/>
        </w:rPr>
        <w:t>the perpetrators and participants involved. </w:t>
      </w:r>
    </w:p>
    <w:p w14:paraId="49F33DDD"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139924A6" w14:textId="1FA53612"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In </w:t>
      </w:r>
      <w:r w:rsidR="00D113FD" w:rsidRPr="00B265F3">
        <w:rPr>
          <w:rFonts w:ascii="Cambria" w:hAnsi="Cambria"/>
          <w:color w:val="000000"/>
          <w:sz w:val="20"/>
        </w:rPr>
        <w:t>furtherance of the foregoing</w:t>
      </w:r>
      <w:r w:rsidRPr="00B265F3">
        <w:rPr>
          <w:rFonts w:ascii="Cambria" w:hAnsi="Cambria"/>
          <w:color w:val="000000"/>
          <w:sz w:val="20"/>
        </w:rPr>
        <w:t>, the Attorney General's Office and the petitioners will hold a meeting every six months to report on the progress made in the justice system. </w:t>
      </w:r>
    </w:p>
    <w:p w14:paraId="751FB437"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C519FDC"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The semi-annual meeting to be held will be convened directly by the Attorney General's Office.</w:t>
      </w:r>
      <w:r w:rsidRPr="00B265F3">
        <w:rPr>
          <w:rStyle w:val="FootnoteReference"/>
          <w:rFonts w:ascii="Cambria" w:eastAsia="Times New Roman" w:hAnsi="Cambria" w:cs="Segoe UI"/>
          <w:color w:val="000000"/>
          <w:sz w:val="20"/>
          <w:szCs w:val="20"/>
          <w:lang w:val="es-CO"/>
        </w:rPr>
        <w:footnoteReference w:id="23"/>
      </w:r>
      <w:r w:rsidRPr="00B265F3">
        <w:rPr>
          <w:rFonts w:ascii="Cambria" w:hAnsi="Cambria"/>
          <w:color w:val="000000"/>
          <w:sz w:val="20"/>
        </w:rPr>
        <w:t> </w:t>
      </w:r>
    </w:p>
    <w:p w14:paraId="426E9AC1"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2833C42B"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PART SEVEN: COMPENSATION MEASURES</w:t>
      </w:r>
      <w:r w:rsidRPr="00B265F3">
        <w:rPr>
          <w:rFonts w:ascii="Cambria" w:hAnsi="Cambria"/>
          <w:color w:val="000000"/>
          <w:sz w:val="20"/>
        </w:rPr>
        <w:t> </w:t>
      </w:r>
    </w:p>
    <w:p w14:paraId="64F9683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4F208BA1" w14:textId="31297AA0"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State undertakes to initiate the process </w:t>
      </w:r>
      <w:r w:rsidR="00D113FD" w:rsidRPr="00B265F3">
        <w:rPr>
          <w:rFonts w:ascii="Cambria" w:hAnsi="Cambria"/>
          <w:color w:val="000000"/>
          <w:sz w:val="20"/>
        </w:rPr>
        <w:t xml:space="preserve">of </w:t>
      </w:r>
      <w:r w:rsidRPr="00B265F3">
        <w:rPr>
          <w:rFonts w:ascii="Cambria" w:hAnsi="Cambria"/>
          <w:color w:val="000000"/>
          <w:sz w:val="20"/>
        </w:rPr>
        <w:t xml:space="preserve">Law 288 of 1996 "Whereby instruments are established for the compensation of damages to victims of human rights violations in accordance with the provisions of certain international human rights bodies,” once the present friendly settlement agreement is approved through the issuance of the Article 49 Report of the American Convention on Human Rights, with </w:t>
      </w:r>
      <w:r w:rsidR="00D113FD" w:rsidRPr="00B265F3">
        <w:rPr>
          <w:rFonts w:ascii="Cambria" w:hAnsi="Cambria"/>
          <w:color w:val="000000"/>
          <w:sz w:val="20"/>
        </w:rPr>
        <w:t xml:space="preserve">the purpose of </w:t>
      </w:r>
      <w:r w:rsidRPr="00B265F3">
        <w:rPr>
          <w:rFonts w:ascii="Cambria" w:hAnsi="Cambria"/>
          <w:color w:val="000000"/>
          <w:sz w:val="20"/>
        </w:rPr>
        <w:t>repairing the damages caused to the victims' relatives as a result of this case.  </w:t>
      </w:r>
    </w:p>
    <w:p w14:paraId="2E99846B"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279CA0C" w14:textId="1F5225F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The National Agency for the Legal Defense of the State will be the entity in charge of </w:t>
      </w:r>
      <w:r w:rsidR="00D113FD" w:rsidRPr="00B265F3">
        <w:rPr>
          <w:rFonts w:ascii="Cambria" w:hAnsi="Cambria"/>
          <w:color w:val="000000"/>
          <w:sz w:val="20"/>
        </w:rPr>
        <w:t xml:space="preserve">the processing of </w:t>
      </w:r>
      <w:r w:rsidRPr="00B265F3">
        <w:rPr>
          <w:rFonts w:ascii="Cambria" w:hAnsi="Cambria"/>
          <w:color w:val="000000"/>
          <w:sz w:val="20"/>
        </w:rPr>
        <w:t>Law 288 of 1996.  </w:t>
      </w:r>
    </w:p>
    <w:p w14:paraId="25490BA6"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7E50983F" w14:textId="2D87466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xml:space="preserve">For </w:t>
      </w:r>
      <w:r w:rsidR="00D113FD" w:rsidRPr="00B265F3">
        <w:rPr>
          <w:rFonts w:ascii="Cambria" w:hAnsi="Cambria"/>
          <w:color w:val="000000"/>
          <w:sz w:val="20"/>
        </w:rPr>
        <w:t xml:space="preserve">the </w:t>
      </w:r>
      <w:r w:rsidRPr="00B265F3">
        <w:rPr>
          <w:rFonts w:ascii="Cambria" w:hAnsi="Cambria"/>
          <w:color w:val="000000"/>
          <w:sz w:val="20"/>
        </w:rPr>
        <w:t>purposes</w:t>
      </w:r>
      <w:r w:rsidR="00D113FD" w:rsidRPr="00B265F3">
        <w:rPr>
          <w:rFonts w:ascii="Cambria" w:hAnsi="Cambria"/>
          <w:color w:val="000000"/>
          <w:sz w:val="20"/>
        </w:rPr>
        <w:t xml:space="preserve"> of compensation</w:t>
      </w:r>
      <w:r w:rsidRPr="00B265F3">
        <w:rPr>
          <w:rFonts w:ascii="Cambria" w:hAnsi="Cambria"/>
          <w:color w:val="000000"/>
          <w:sz w:val="20"/>
        </w:rPr>
        <w:t>, the criteria and amounts recognized by the current jurisprudence of the Council of State shall apply.  </w:t>
      </w:r>
    </w:p>
    <w:p w14:paraId="74EDAAE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5CC1A5FF" w14:textId="77777777" w:rsidR="00D96EC6" w:rsidRPr="00B265F3" w:rsidRDefault="00D96EC6" w:rsidP="00D96EC6">
      <w:pPr>
        <w:ind w:left="720" w:right="720"/>
        <w:jc w:val="center"/>
        <w:textAlignment w:val="baseline"/>
        <w:rPr>
          <w:rFonts w:ascii="Cambria" w:eastAsia="Times New Roman" w:hAnsi="Cambria" w:cs="Segoe UI"/>
          <w:color w:val="000000"/>
          <w:sz w:val="20"/>
          <w:szCs w:val="20"/>
        </w:rPr>
      </w:pPr>
      <w:r w:rsidRPr="00B265F3">
        <w:rPr>
          <w:rFonts w:ascii="Cambria" w:hAnsi="Cambria"/>
          <w:b/>
          <w:color w:val="000000"/>
          <w:sz w:val="20"/>
        </w:rPr>
        <w:t>PART EIGHT: APPROVAL AND FOLLOW-UP</w:t>
      </w:r>
      <w:r w:rsidRPr="00B265F3">
        <w:rPr>
          <w:rFonts w:ascii="Cambria" w:hAnsi="Cambria"/>
          <w:color w:val="000000"/>
          <w:sz w:val="20"/>
        </w:rPr>
        <w:t> </w:t>
      </w:r>
    </w:p>
    <w:p w14:paraId="0C0A1842"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7A514FAD"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The parties request the Inter-American Commission to approve and follow up on this agreement.  </w:t>
      </w:r>
    </w:p>
    <w:p w14:paraId="1C6A866D" w14:textId="77777777" w:rsidR="00D96EC6" w:rsidRPr="00B265F3" w:rsidRDefault="00D96EC6" w:rsidP="00D96EC6">
      <w:pPr>
        <w:ind w:left="720" w:right="720"/>
        <w:jc w:val="both"/>
        <w:textAlignment w:val="baseline"/>
        <w:rPr>
          <w:rFonts w:ascii="Cambria" w:eastAsia="Times New Roman" w:hAnsi="Cambria" w:cs="Segoe UI"/>
          <w:color w:val="000000"/>
          <w:sz w:val="20"/>
          <w:szCs w:val="20"/>
        </w:rPr>
      </w:pPr>
      <w:r w:rsidRPr="00B265F3">
        <w:rPr>
          <w:rFonts w:ascii="Cambria" w:hAnsi="Cambria"/>
          <w:color w:val="000000"/>
          <w:sz w:val="20"/>
        </w:rPr>
        <w:t> </w:t>
      </w:r>
    </w:p>
    <w:p w14:paraId="3DB3D0B3" w14:textId="77777777" w:rsidR="00D96EC6" w:rsidRPr="00B265F3" w:rsidRDefault="00D96EC6" w:rsidP="00D96EC6">
      <w:pPr>
        <w:ind w:left="720" w:right="720"/>
        <w:jc w:val="both"/>
        <w:textAlignment w:val="baseline"/>
        <w:rPr>
          <w:rFonts w:ascii="Cambria" w:hAnsi="Cambria"/>
          <w:color w:val="000000"/>
          <w:sz w:val="20"/>
        </w:rPr>
      </w:pPr>
      <w:r w:rsidRPr="00B265F3">
        <w:rPr>
          <w:rFonts w:ascii="Cambria" w:hAnsi="Cambria"/>
          <w:color w:val="000000"/>
          <w:sz w:val="20"/>
        </w:rPr>
        <w:t>This Agreement having been read and the parties being aware of its scope and legal content, it is hereby signed on the twenty-ninth (29th) day of the month of September, 2022.</w:t>
      </w:r>
    </w:p>
    <w:p w14:paraId="735B3648" w14:textId="77777777" w:rsidR="00C8767B" w:rsidRPr="00B265F3" w:rsidRDefault="00C8767B" w:rsidP="00D96EC6">
      <w:pPr>
        <w:ind w:left="720" w:right="720"/>
        <w:jc w:val="both"/>
        <w:textAlignment w:val="baseline"/>
        <w:rPr>
          <w:rFonts w:ascii="Cambria" w:hAnsi="Cambria" w:cs="Segoe UI"/>
          <w:sz w:val="20"/>
          <w:szCs w:val="20"/>
        </w:rPr>
      </w:pPr>
    </w:p>
    <w:p w14:paraId="120F7E30" w14:textId="77777777" w:rsidR="002A65AC" w:rsidRPr="00B265F3"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B265F3">
        <w:rPr>
          <w:b/>
          <w:color w:val="000000" w:themeColor="text1"/>
          <w:sz w:val="20"/>
        </w:rPr>
        <w:t xml:space="preserve">DETERMINATION OF COMPATIBILITY AND COMPLIANCE </w:t>
      </w:r>
    </w:p>
    <w:p w14:paraId="042153D1" w14:textId="4BA213F5" w:rsidR="002A65AC" w:rsidRPr="00B265F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2459ED1F" w14:textId="28EA73D6"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265F3">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B265F3">
        <w:rPr>
          <w:rFonts w:asciiTheme="majorHAnsi" w:hAnsiTheme="majorHAnsi"/>
          <w:i/>
          <w:sz w:val="20"/>
          <w:bdr w:val="none" w:sz="0" w:space="0" w:color="auto" w:frame="1"/>
        </w:rPr>
        <w:t>pacta sunt servanda</w:t>
      </w:r>
      <w:r w:rsidRPr="00B265F3">
        <w:rPr>
          <w:rFonts w:asciiTheme="majorHAnsi" w:hAnsiTheme="majorHAnsi"/>
          <w:sz w:val="20"/>
          <w:bdr w:val="none" w:sz="0" w:space="0" w:color="auto" w:frame="1"/>
        </w:rPr>
        <w:t>, by which States must comply with the obligations assumed in the treaties in good faith.</w:t>
      </w:r>
      <w:r w:rsidRPr="00B265F3">
        <w:rPr>
          <w:bdr w:val="none" w:sz="0" w:space="0" w:color="auto" w:frame="1"/>
          <w:vertAlign w:val="superscript"/>
          <w:lang w:val="en"/>
        </w:rPr>
        <w:footnoteReference w:id="24"/>
      </w:r>
      <w:r w:rsidRPr="00B265F3">
        <w:rPr>
          <w:rFonts w:asciiTheme="majorHAnsi" w:hAnsiTheme="majorHAnsi"/>
          <w:sz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456AADB6" w14:textId="77777777" w:rsidR="00D96EC6" w:rsidRPr="00B265F3" w:rsidRDefault="00D96EC6" w:rsidP="00D96EC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0E097347" w14:textId="77777777"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eastAsia="MS Mincho" w:hAnsiTheme="majorHAnsi"/>
          <w:sz w:val="20"/>
          <w:szCs w:val="20"/>
        </w:rPr>
      </w:pPr>
      <w:r w:rsidRPr="00B265F3">
        <w:rPr>
          <w:rStyle w:val="normaltextrun"/>
          <w:sz w:val="20"/>
        </w:rPr>
        <w:t>The Inter-American Commission has closely monitored the progress of the friendly settlement reached in the instant case and appreciates the efforts made by both parties during negotiations to reach this friendly settlement, which is compatible with the object and purpose of the Convention.</w:t>
      </w:r>
    </w:p>
    <w:p w14:paraId="1B981488" w14:textId="77777777" w:rsidR="00D96EC6" w:rsidRPr="00B265F3" w:rsidRDefault="00D96EC6" w:rsidP="00D96EC6">
      <w:pPr>
        <w:pStyle w:val="ListParagraph"/>
        <w:rPr>
          <w:rFonts w:cs="Segoe UI"/>
          <w:sz w:val="20"/>
          <w:szCs w:val="20"/>
        </w:rPr>
      </w:pPr>
    </w:p>
    <w:p w14:paraId="1AF87B4C" w14:textId="77777777"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265F3">
        <w:rPr>
          <w:sz w:val="20"/>
        </w:rPr>
        <w:t xml:space="preserve">In accordance with the agreement signed between the parties by which they requested the Commission to approve the friendly settlement agreement contemplated in Article 49 of the American Convention, and taking into consideration the parties' request of January 14, </w:t>
      </w:r>
      <w:proofErr w:type="gramStart"/>
      <w:r w:rsidRPr="00B265F3">
        <w:rPr>
          <w:sz w:val="20"/>
        </w:rPr>
        <w:t>2023</w:t>
      </w:r>
      <w:proofErr w:type="gramEnd"/>
      <w:r w:rsidRPr="00B265F3">
        <w:rPr>
          <w:sz w:val="20"/>
        </w:rPr>
        <w:t xml:space="preserve"> to move forward by this means, it is appropriate at this time to assess compliance with the commitments established in this instrument.</w:t>
      </w:r>
    </w:p>
    <w:p w14:paraId="499ED6A5" w14:textId="77777777" w:rsidR="00D96EC6" w:rsidRPr="00B265F3" w:rsidRDefault="00D96EC6" w:rsidP="00D96EC6">
      <w:pPr>
        <w:pStyle w:val="ListParagraph"/>
        <w:rPr>
          <w:rFonts w:cs="Segoe UI"/>
          <w:sz w:val="20"/>
          <w:szCs w:val="20"/>
        </w:rPr>
      </w:pPr>
    </w:p>
    <w:p w14:paraId="0D0441E1" w14:textId="352C7EC0"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265F3">
        <w:rPr>
          <w:sz w:val="20"/>
        </w:rPr>
        <w:t xml:space="preserve">The Inter-American Commission considers that the first (Concepts), second (Background in the Inter-American Human Rights System), third (Beneficiaries), and fourth (Acknowledgment of Responsibility) clauses of the agreement are </w:t>
      </w:r>
      <w:r w:rsidR="00D113FD" w:rsidRPr="00B265F3">
        <w:rPr>
          <w:sz w:val="20"/>
        </w:rPr>
        <w:t xml:space="preserve">of a </w:t>
      </w:r>
      <w:r w:rsidRPr="00B265F3">
        <w:rPr>
          <w:sz w:val="20"/>
        </w:rPr>
        <w:t>declarat</w:t>
      </w:r>
      <w:r w:rsidR="00D113FD" w:rsidRPr="00B265F3">
        <w:rPr>
          <w:sz w:val="20"/>
        </w:rPr>
        <w:t>ive nature</w:t>
      </w:r>
      <w:r w:rsidRPr="00B265F3">
        <w:rPr>
          <w:sz w:val="20"/>
        </w:rPr>
        <w:t xml:space="preserve">, and therefore it is not appropriate to supervise </w:t>
      </w:r>
      <w:r w:rsidR="00D113FD" w:rsidRPr="00B265F3">
        <w:rPr>
          <w:sz w:val="20"/>
        </w:rPr>
        <w:t xml:space="preserve">their </w:t>
      </w:r>
      <w:r w:rsidRPr="00B265F3">
        <w:rPr>
          <w:sz w:val="20"/>
        </w:rPr>
        <w:t xml:space="preserve">compliance. In this regard, the Commission values the fourth declaratory clause, in which the Colombian State acknowledges its international responsibility by omission, for violation of the right to humane treatment (Article 5.1) in relation to the rights to judicial guarantees (Article 8.1) and to judicial protection (Article 25.1) established in the American Convention on Human Rights, in conjunction with the general obligation to guarantee (Article 1.1. of the same instrument), to the detriment of the </w:t>
      </w:r>
      <w:r w:rsidR="00D113FD" w:rsidRPr="00B265F3">
        <w:rPr>
          <w:sz w:val="20"/>
        </w:rPr>
        <w:t xml:space="preserve">family members </w:t>
      </w:r>
      <w:r w:rsidRPr="00B265F3">
        <w:rPr>
          <w:sz w:val="20"/>
        </w:rPr>
        <w:t xml:space="preserve">of Luis Gerardo Toro Jiménez, José Davidson Toro Ortiz, Robinson de Jesús Agudelo Toro, and Luis Gonzaga Toro Arcila, due to lack of diligence in the investigation of the facts that occurred, which has prevented their clarification and the punishment of those responsible, and has caused them suffering and anguish. </w:t>
      </w:r>
    </w:p>
    <w:p w14:paraId="2C143BBE" w14:textId="77777777" w:rsidR="00C8767B" w:rsidRPr="00B265F3" w:rsidRDefault="00C8767B" w:rsidP="00C8767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6801ADD3" w14:textId="43F85418"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265F3">
        <w:rPr>
          <w:sz w:val="20"/>
        </w:rPr>
        <w:t xml:space="preserve">Regarding </w:t>
      </w:r>
      <w:proofErr w:type="spellStart"/>
      <w:r w:rsidR="00D113FD" w:rsidRPr="00B265F3">
        <w:rPr>
          <w:sz w:val="20"/>
        </w:rPr>
        <w:t>paragragh</w:t>
      </w:r>
      <w:proofErr w:type="spellEnd"/>
      <w:r w:rsidR="00D113FD" w:rsidRPr="00B265F3">
        <w:rPr>
          <w:sz w:val="20"/>
        </w:rPr>
        <w:t xml:space="preserve"> </w:t>
      </w:r>
      <w:r w:rsidRPr="00B265F3">
        <w:rPr>
          <w:i/>
          <w:sz w:val="20"/>
        </w:rPr>
        <w:t>(</w:t>
      </w:r>
      <w:proofErr w:type="spellStart"/>
      <w:r w:rsidRPr="00B265F3">
        <w:rPr>
          <w:i/>
          <w:sz w:val="20"/>
        </w:rPr>
        <w:t>i</w:t>
      </w:r>
      <w:proofErr w:type="spellEnd"/>
      <w:r w:rsidRPr="00B265F3">
        <w:rPr>
          <w:i/>
          <w:sz w:val="20"/>
        </w:rPr>
        <w:t>) act of acknowledgment of responsibility</w:t>
      </w:r>
      <w:r w:rsidRPr="00B265F3">
        <w:rPr>
          <w:sz w:val="20"/>
        </w:rPr>
        <w:t xml:space="preserve"> of the fifth clause (satisfaction measures) of the friendly settlement agreement, as jointly informed by the parties in their report dated January 14, 2023, after the </w:t>
      </w:r>
      <w:r w:rsidR="00D113FD" w:rsidRPr="00B265F3">
        <w:rPr>
          <w:sz w:val="20"/>
        </w:rPr>
        <w:t xml:space="preserve">signing </w:t>
      </w:r>
      <w:r w:rsidRPr="00B265F3">
        <w:rPr>
          <w:sz w:val="20"/>
        </w:rPr>
        <w:t>of the FSA, the parties agreed that the</w:t>
      </w:r>
      <w:r w:rsidR="00D113FD" w:rsidRPr="00B265F3">
        <w:rPr>
          <w:sz w:val="20"/>
        </w:rPr>
        <w:t xml:space="preserve"> said</w:t>
      </w:r>
      <w:r w:rsidRPr="00B265F3">
        <w:rPr>
          <w:sz w:val="20"/>
        </w:rPr>
        <w:t xml:space="preserve"> act would be </w:t>
      </w:r>
      <w:r w:rsidR="00D113FD" w:rsidRPr="00B265F3">
        <w:rPr>
          <w:sz w:val="20"/>
        </w:rPr>
        <w:t xml:space="preserve">of a </w:t>
      </w:r>
      <w:r w:rsidRPr="00B265F3">
        <w:rPr>
          <w:sz w:val="20"/>
        </w:rPr>
        <w:t xml:space="preserve">private nature and it was </w:t>
      </w:r>
      <w:r w:rsidR="00D113FD" w:rsidRPr="00B265F3">
        <w:rPr>
          <w:sz w:val="20"/>
        </w:rPr>
        <w:t xml:space="preserve">held </w:t>
      </w:r>
      <w:r w:rsidRPr="00B265F3">
        <w:rPr>
          <w:sz w:val="20"/>
        </w:rPr>
        <w:t xml:space="preserve">on November 30, 2022, </w:t>
      </w:r>
      <w:r w:rsidR="00D113FD" w:rsidRPr="00B265F3">
        <w:rPr>
          <w:sz w:val="20"/>
        </w:rPr>
        <w:t xml:space="preserve">by means of a </w:t>
      </w:r>
      <w:r w:rsidRPr="00B265F3">
        <w:rPr>
          <w:sz w:val="20"/>
        </w:rPr>
        <w:t xml:space="preserve">virtual platform. The parties reported the existence of regular and smooth communication between the State and the petitioners, with whom they agreed on each of the details for the fulfillment of the measure, such as the date, time, agenda and </w:t>
      </w:r>
      <w:r w:rsidR="00D113FD" w:rsidRPr="00B265F3">
        <w:rPr>
          <w:sz w:val="20"/>
        </w:rPr>
        <w:t xml:space="preserve">required </w:t>
      </w:r>
      <w:r w:rsidRPr="00B265F3">
        <w:rPr>
          <w:sz w:val="20"/>
        </w:rPr>
        <w:t>logistics. In this regard, the parties provided a copy of the invitations circulated for said event, in which the victim's relatives and their representative, the National Agency for the Legal Defense of the State, as well as the Commissioner and rapporteur for Colombia of the IACHR, participated.</w:t>
      </w:r>
    </w:p>
    <w:p w14:paraId="1256E471" w14:textId="77777777" w:rsidR="00D96EC6" w:rsidRPr="00B265F3" w:rsidRDefault="00D96EC6" w:rsidP="00D96EC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16D32A1B" w14:textId="3600EFB5" w:rsidR="00D96EC6" w:rsidRPr="00B265F3" w:rsidRDefault="00D96EC6" w:rsidP="00234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265F3">
        <w:rPr>
          <w:sz w:val="20"/>
        </w:rPr>
        <w:t xml:space="preserve">Likewise, the parties reported </w:t>
      </w:r>
      <w:r w:rsidR="00D113FD" w:rsidRPr="00B265F3">
        <w:rPr>
          <w:sz w:val="20"/>
        </w:rPr>
        <w:t xml:space="preserve">on </w:t>
      </w:r>
      <w:r w:rsidRPr="00B265F3">
        <w:rPr>
          <w:sz w:val="20"/>
        </w:rPr>
        <w:t xml:space="preserve">the content of the agenda agreed upon for the private act of acknowledgment of responsibility, which included opening remarks, the Colombian national anthem, the projection of a video prepared by the relatives, words by Mr. Julián Alberto Toro Ortiz, son, brother and cousin of the victims, as well as by their representative, Mr. Christian Camilo Castillo </w:t>
      </w:r>
      <w:proofErr w:type="spellStart"/>
      <w:r w:rsidRPr="00B265F3">
        <w:rPr>
          <w:sz w:val="20"/>
        </w:rPr>
        <w:t>Ulcue</w:t>
      </w:r>
      <w:proofErr w:type="spellEnd"/>
      <w:r w:rsidRPr="00B265F3">
        <w:rPr>
          <w:sz w:val="20"/>
        </w:rPr>
        <w:t xml:space="preserve">. </w:t>
      </w:r>
      <w:r w:rsidR="00D113FD" w:rsidRPr="00B265F3">
        <w:rPr>
          <w:sz w:val="20"/>
        </w:rPr>
        <w:t xml:space="preserve">The State’s address was given by </w:t>
      </w:r>
      <w:r w:rsidRPr="00B265F3">
        <w:rPr>
          <w:sz w:val="20"/>
        </w:rPr>
        <w:t xml:space="preserve">the ANDJE's Director of International Legal Defense, who asked </w:t>
      </w:r>
      <w:r w:rsidR="00D113FD" w:rsidRPr="00B265F3">
        <w:rPr>
          <w:sz w:val="20"/>
        </w:rPr>
        <w:t xml:space="preserve">the victims and their families </w:t>
      </w:r>
      <w:r w:rsidRPr="00B265F3">
        <w:rPr>
          <w:sz w:val="20"/>
        </w:rPr>
        <w:t>for forgiveness f</w:t>
      </w:r>
      <w:r w:rsidR="00D113FD" w:rsidRPr="00B265F3">
        <w:rPr>
          <w:sz w:val="20"/>
        </w:rPr>
        <w:t>or</w:t>
      </w:r>
      <w:r w:rsidRPr="00B265F3">
        <w:rPr>
          <w:sz w:val="20"/>
        </w:rPr>
        <w:t xml:space="preserve"> what happened, and acknowledged the State's responsibility under the terms established in the friendly settlement agreement signed between the parties, stating the following: </w:t>
      </w:r>
    </w:p>
    <w:p w14:paraId="3E03101F" w14:textId="77777777" w:rsidR="00D96EC6" w:rsidRPr="00B265F3" w:rsidRDefault="00D96EC6" w:rsidP="00D96EC6">
      <w:pPr>
        <w:pStyle w:val="paragraph"/>
        <w:spacing w:before="0" w:beforeAutospacing="0" w:after="0" w:afterAutospacing="0"/>
        <w:ind w:left="720"/>
        <w:jc w:val="both"/>
        <w:textAlignment w:val="baseline"/>
        <w:rPr>
          <w:rFonts w:ascii="Cambria" w:hAnsi="Cambria" w:cs="Segoe UI"/>
          <w:sz w:val="20"/>
          <w:szCs w:val="20"/>
        </w:rPr>
      </w:pPr>
    </w:p>
    <w:p w14:paraId="168E4596" w14:textId="77777777" w:rsidR="00D96EC6" w:rsidRPr="00B265F3" w:rsidRDefault="00D96EC6" w:rsidP="00D96EC6">
      <w:pPr>
        <w:pStyle w:val="paragraph"/>
        <w:spacing w:before="0" w:beforeAutospacing="0" w:after="0" w:afterAutospacing="0"/>
        <w:ind w:left="720" w:right="720"/>
        <w:jc w:val="both"/>
        <w:textAlignment w:val="baseline"/>
        <w:rPr>
          <w:rFonts w:ascii="Cambria" w:hAnsi="Cambria" w:cs="Segoe UI"/>
          <w:sz w:val="20"/>
          <w:szCs w:val="20"/>
        </w:rPr>
      </w:pPr>
      <w:r w:rsidRPr="00B265F3">
        <w:rPr>
          <w:rFonts w:ascii="Cambria" w:hAnsi="Cambria"/>
          <w:sz w:val="20"/>
        </w:rPr>
        <w:t>[…].</w:t>
      </w:r>
    </w:p>
    <w:p w14:paraId="6B105A8A" w14:textId="1D732099" w:rsidR="00D96EC6" w:rsidRPr="00B265F3" w:rsidRDefault="00D96EC6" w:rsidP="00D96EC6">
      <w:pPr>
        <w:pStyle w:val="paragraph"/>
        <w:spacing w:after="0"/>
        <w:ind w:left="720" w:right="720"/>
        <w:jc w:val="both"/>
        <w:textAlignment w:val="baseline"/>
        <w:rPr>
          <w:rFonts w:ascii="Cambria" w:hAnsi="Cambria" w:cs="Segoe UI"/>
          <w:sz w:val="20"/>
          <w:szCs w:val="20"/>
        </w:rPr>
      </w:pPr>
      <w:r w:rsidRPr="00B265F3">
        <w:rPr>
          <w:rFonts w:ascii="Cambria" w:hAnsi="Cambria"/>
          <w:sz w:val="20"/>
        </w:rPr>
        <w:lastRenderedPageBreak/>
        <w:t xml:space="preserve">On behalf of the State of Colombia, and as Director of International Legal Defense of the National Agency of Legal Defense of the State, I express </w:t>
      </w:r>
      <w:r w:rsidR="00D113FD" w:rsidRPr="00B265F3">
        <w:rPr>
          <w:rFonts w:ascii="Cambria" w:hAnsi="Cambria"/>
          <w:sz w:val="20"/>
        </w:rPr>
        <w:t xml:space="preserve">to you and the other relatives of Mr. Luis Gerardo Toro Jiménez, José Davidson Toro Ortiz, Robinson de Jesús Agudelo Toro, and Luis Gonzaga Toro Arcila, </w:t>
      </w:r>
      <w:r w:rsidRPr="00B265F3">
        <w:rPr>
          <w:rFonts w:ascii="Cambria" w:hAnsi="Cambria"/>
          <w:sz w:val="20"/>
        </w:rPr>
        <w:t xml:space="preserve">our deepest feelings of solidarity.  </w:t>
      </w:r>
    </w:p>
    <w:p w14:paraId="6D6E522C" w14:textId="64B6597C" w:rsidR="00D96EC6" w:rsidRPr="00B265F3" w:rsidRDefault="00D96EC6" w:rsidP="00D96EC6">
      <w:pPr>
        <w:pStyle w:val="paragraph"/>
        <w:spacing w:after="0"/>
        <w:ind w:left="720" w:right="720"/>
        <w:jc w:val="both"/>
        <w:textAlignment w:val="baseline"/>
        <w:rPr>
          <w:rFonts w:ascii="Cambria" w:hAnsi="Cambria" w:cs="Segoe UI"/>
          <w:sz w:val="20"/>
          <w:szCs w:val="20"/>
        </w:rPr>
      </w:pPr>
      <w:r w:rsidRPr="00B265F3">
        <w:rPr>
          <w:rFonts w:ascii="Cambria" w:hAnsi="Cambria"/>
          <w:sz w:val="20"/>
        </w:rPr>
        <w:t xml:space="preserve">The State had the obligation to investigate, prosecute, and punish those responsible for violating the fundamental rights of Luis Gerardo Toro Jiménez, José Davidson Toro Ortiz, Robinson de Jesús Agudelo Toro, and Luis Gonzaga Toro Arcila. And, we have </w:t>
      </w:r>
      <w:r w:rsidR="00D113FD" w:rsidRPr="00B265F3">
        <w:rPr>
          <w:rFonts w:ascii="Cambria" w:hAnsi="Cambria"/>
          <w:sz w:val="20"/>
        </w:rPr>
        <w:t xml:space="preserve">been </w:t>
      </w:r>
      <w:r w:rsidRPr="00B265F3">
        <w:rPr>
          <w:rFonts w:ascii="Cambria" w:hAnsi="Cambria"/>
          <w:sz w:val="20"/>
        </w:rPr>
        <w:t>witnesse</w:t>
      </w:r>
      <w:r w:rsidR="00D113FD" w:rsidRPr="00B265F3">
        <w:rPr>
          <w:rFonts w:ascii="Cambria" w:hAnsi="Cambria"/>
          <w:sz w:val="20"/>
        </w:rPr>
        <w:t>s of</w:t>
      </w:r>
      <w:r w:rsidRPr="00B265F3">
        <w:rPr>
          <w:rFonts w:ascii="Cambria" w:hAnsi="Cambria"/>
          <w:sz w:val="20"/>
        </w:rPr>
        <w:t xml:space="preserve"> the painful search for truth and justice that the Toro family has undertaken over the years. </w:t>
      </w:r>
    </w:p>
    <w:p w14:paraId="3C534D82" w14:textId="371B5AFF" w:rsidR="00D96EC6" w:rsidRPr="00B265F3" w:rsidRDefault="00D96EC6" w:rsidP="00D96EC6">
      <w:pPr>
        <w:pStyle w:val="paragraph"/>
        <w:spacing w:after="0"/>
        <w:ind w:left="720" w:right="720"/>
        <w:jc w:val="both"/>
        <w:textAlignment w:val="baseline"/>
        <w:rPr>
          <w:rFonts w:ascii="Cambria" w:hAnsi="Cambria" w:cs="Segoe UI"/>
          <w:sz w:val="20"/>
          <w:szCs w:val="20"/>
        </w:rPr>
      </w:pPr>
      <w:r w:rsidRPr="00B265F3">
        <w:rPr>
          <w:rFonts w:ascii="Cambria" w:hAnsi="Cambria"/>
          <w:sz w:val="20"/>
        </w:rPr>
        <w:t xml:space="preserve">The Colombian State recognizes that the right of access to the administration of justice is an indispensable prerequisite for the realization of fundamental rights, and </w:t>
      </w:r>
      <w:r w:rsidR="00D113FD" w:rsidRPr="00B265F3">
        <w:rPr>
          <w:rFonts w:ascii="Cambria" w:hAnsi="Cambria"/>
          <w:sz w:val="20"/>
        </w:rPr>
        <w:t xml:space="preserve">stands as </w:t>
      </w:r>
      <w:r w:rsidRPr="00B265F3">
        <w:rPr>
          <w:rFonts w:ascii="Cambria" w:hAnsi="Cambria"/>
          <w:sz w:val="20"/>
        </w:rPr>
        <w:t xml:space="preserve">one of the pillars supporting </w:t>
      </w:r>
      <w:r w:rsidR="00D113FD" w:rsidRPr="00B265F3">
        <w:rPr>
          <w:rFonts w:ascii="Cambria" w:hAnsi="Cambria"/>
          <w:sz w:val="20"/>
        </w:rPr>
        <w:t xml:space="preserve">the </w:t>
      </w:r>
      <w:r w:rsidRPr="00B265F3">
        <w:rPr>
          <w:rFonts w:ascii="Cambria" w:hAnsi="Cambria"/>
          <w:sz w:val="20"/>
        </w:rPr>
        <w:t xml:space="preserve">Social and Democratic Rule of Law. This right </w:t>
      </w:r>
      <w:r w:rsidR="00D113FD" w:rsidRPr="00B265F3">
        <w:rPr>
          <w:rFonts w:ascii="Cambria" w:hAnsi="Cambria"/>
          <w:sz w:val="20"/>
        </w:rPr>
        <w:t xml:space="preserve">entails the concrete opportunity </w:t>
      </w:r>
      <w:r w:rsidRPr="00B265F3">
        <w:rPr>
          <w:rFonts w:ascii="Cambria" w:hAnsi="Cambria"/>
          <w:sz w:val="20"/>
        </w:rPr>
        <w:t xml:space="preserve">that all persons, without distinction, must </w:t>
      </w:r>
      <w:r w:rsidR="00D113FD" w:rsidRPr="00B265F3">
        <w:rPr>
          <w:rFonts w:ascii="Cambria" w:hAnsi="Cambria"/>
          <w:sz w:val="20"/>
        </w:rPr>
        <w:t xml:space="preserve">have </w:t>
      </w:r>
      <w:r w:rsidRPr="00B265F3">
        <w:rPr>
          <w:rFonts w:ascii="Cambria" w:hAnsi="Cambria"/>
          <w:sz w:val="20"/>
        </w:rPr>
        <w:t xml:space="preserve">to obtain restoration of their rights through the means provided, which must be, inter alia, timely and effective. Likewise, the State recognizes the obligation to ensure vindication of the rights of the victims and the restoration of their rights within a reasonable </w:t>
      </w:r>
      <w:proofErr w:type="gramStart"/>
      <w:r w:rsidRPr="00B265F3">
        <w:rPr>
          <w:rFonts w:ascii="Cambria" w:hAnsi="Cambria"/>
          <w:sz w:val="20"/>
        </w:rPr>
        <w:t>period of time</w:t>
      </w:r>
      <w:proofErr w:type="gramEnd"/>
      <w:r w:rsidRPr="00B265F3">
        <w:rPr>
          <w:rFonts w:ascii="Cambria" w:hAnsi="Cambria"/>
          <w:sz w:val="20"/>
        </w:rPr>
        <w:t>.</w:t>
      </w:r>
    </w:p>
    <w:p w14:paraId="62D140E0" w14:textId="298863FC" w:rsidR="00D96EC6" w:rsidRPr="00B265F3" w:rsidRDefault="00D96EC6" w:rsidP="00D96EC6">
      <w:pPr>
        <w:pStyle w:val="paragraph"/>
        <w:spacing w:before="0" w:beforeAutospacing="0" w:after="0" w:afterAutospacing="0"/>
        <w:ind w:left="720" w:right="720"/>
        <w:jc w:val="both"/>
        <w:textAlignment w:val="baseline"/>
        <w:rPr>
          <w:rFonts w:ascii="Cambria" w:hAnsi="Cambria" w:cs="Segoe UI"/>
          <w:sz w:val="20"/>
          <w:szCs w:val="20"/>
        </w:rPr>
      </w:pPr>
      <w:r w:rsidRPr="00B265F3">
        <w:rPr>
          <w:rFonts w:ascii="Cambria" w:hAnsi="Cambria"/>
          <w:sz w:val="20"/>
        </w:rPr>
        <w:t xml:space="preserve">In light of the above, and, in particular, recognizing the obligations we have as a State, in my capacity as Director of International Legal Defense of the National Agency for the Legal Defense of the State, I </w:t>
      </w:r>
      <w:r w:rsidR="00D113FD" w:rsidRPr="00B265F3">
        <w:rPr>
          <w:rFonts w:ascii="Cambria" w:hAnsi="Cambria"/>
          <w:sz w:val="20"/>
        </w:rPr>
        <w:t xml:space="preserve">recognize the </w:t>
      </w:r>
      <w:r w:rsidRPr="00B265F3">
        <w:rPr>
          <w:rFonts w:ascii="Cambria" w:hAnsi="Cambria"/>
          <w:sz w:val="20"/>
        </w:rPr>
        <w:t xml:space="preserve">international </w:t>
      </w:r>
      <w:r w:rsidR="00D113FD" w:rsidRPr="00B265F3">
        <w:rPr>
          <w:rFonts w:ascii="Cambria" w:hAnsi="Cambria"/>
          <w:sz w:val="20"/>
        </w:rPr>
        <w:t xml:space="preserve">responsibility by </w:t>
      </w:r>
      <w:r w:rsidRPr="00B265F3">
        <w:rPr>
          <w:rFonts w:ascii="Cambria" w:hAnsi="Cambria"/>
          <w:sz w:val="20"/>
        </w:rPr>
        <w:t xml:space="preserve">omission, for the violation of the right to personal integrity (Article 5.1) in relation to the rights to judicial guarantees (Article 8.1) and to judicial protection (25.1) established in the American Convention on Human Rights, in conjunction with the general obligation to guarantee (Article 1.1. of the same instrument), to the detriment of the </w:t>
      </w:r>
      <w:r w:rsidR="00D113FD" w:rsidRPr="00B265F3">
        <w:rPr>
          <w:rFonts w:ascii="Cambria" w:hAnsi="Cambria"/>
          <w:sz w:val="20"/>
        </w:rPr>
        <w:t xml:space="preserve">family members </w:t>
      </w:r>
      <w:r w:rsidRPr="00B265F3">
        <w:rPr>
          <w:rFonts w:ascii="Cambria" w:hAnsi="Cambria"/>
          <w:sz w:val="20"/>
        </w:rPr>
        <w:t xml:space="preserve">of Luis Gerardo Toro Jiménez, José Davidson Toro Ortiz, Robinson de Jesús Agudelo Toro, and Luis Gonzaga Toro Arcila, for the lack of </w:t>
      </w:r>
      <w:r w:rsidR="00D113FD" w:rsidRPr="00B265F3">
        <w:rPr>
          <w:rFonts w:ascii="Cambria" w:hAnsi="Cambria"/>
          <w:sz w:val="20"/>
        </w:rPr>
        <w:t xml:space="preserve">due </w:t>
      </w:r>
      <w:r w:rsidRPr="00B265F3">
        <w:rPr>
          <w:rFonts w:ascii="Cambria" w:hAnsi="Cambria"/>
          <w:sz w:val="20"/>
        </w:rPr>
        <w:t xml:space="preserve">diligence in the investigation of the events that occurred, which has prevented their clarification and punishment of those responsible, and has caused </w:t>
      </w:r>
      <w:proofErr w:type="gramStart"/>
      <w:r w:rsidRPr="00B265F3">
        <w:rPr>
          <w:rFonts w:ascii="Cambria" w:hAnsi="Cambria"/>
          <w:sz w:val="20"/>
        </w:rPr>
        <w:t>them  suffering</w:t>
      </w:r>
      <w:proofErr w:type="gramEnd"/>
      <w:r w:rsidRPr="00B265F3">
        <w:rPr>
          <w:rFonts w:ascii="Cambria" w:hAnsi="Cambria"/>
          <w:sz w:val="20"/>
        </w:rPr>
        <w:t xml:space="preserve"> and anguish. […].</w:t>
      </w:r>
    </w:p>
    <w:p w14:paraId="10B2CA9D" w14:textId="77777777" w:rsidR="00D96EC6" w:rsidRPr="00B265F3" w:rsidRDefault="00D96EC6" w:rsidP="00D96EC6">
      <w:pPr>
        <w:pStyle w:val="paragraph"/>
        <w:spacing w:before="0" w:beforeAutospacing="0" w:after="0" w:afterAutospacing="0"/>
        <w:ind w:left="720"/>
        <w:jc w:val="both"/>
        <w:textAlignment w:val="baseline"/>
        <w:rPr>
          <w:rFonts w:ascii="Cambria" w:hAnsi="Cambria" w:cs="Segoe UI"/>
          <w:sz w:val="20"/>
          <w:szCs w:val="20"/>
        </w:rPr>
      </w:pPr>
    </w:p>
    <w:p w14:paraId="2E3A510C" w14:textId="228C8CC2" w:rsidR="00DA56AD" w:rsidRPr="00B265F3" w:rsidRDefault="00DA56AD" w:rsidP="00DD6F29">
      <w:pPr>
        <w:pStyle w:val="paragraph"/>
        <w:numPr>
          <w:ilvl w:val="0"/>
          <w:numId w:val="56"/>
        </w:numPr>
        <w:tabs>
          <w:tab w:val="clear" w:pos="720"/>
        </w:tabs>
        <w:spacing w:before="0" w:beforeAutospacing="0" w:after="0" w:afterAutospacing="0"/>
        <w:ind w:left="0" w:firstLine="720"/>
        <w:jc w:val="both"/>
        <w:textAlignment w:val="baseline"/>
        <w:rPr>
          <w:rFonts w:ascii="Cambria" w:eastAsiaTheme="minorHAnsi" w:hAnsi="Cambria" w:cs="Cambria"/>
          <w:color w:val="000000"/>
          <w:sz w:val="20"/>
          <w:szCs w:val="20"/>
        </w:rPr>
      </w:pPr>
      <w:r w:rsidRPr="00B265F3">
        <w:rPr>
          <w:rFonts w:ascii="Cambria" w:hAnsi="Cambria"/>
          <w:color w:val="000000"/>
          <w:sz w:val="20"/>
        </w:rPr>
        <w:t>For his part, Commissioner Joel Hernández, IACHR Rapporteur for Colombia, stated the following:</w:t>
      </w:r>
    </w:p>
    <w:p w14:paraId="0E4402DE" w14:textId="77777777" w:rsidR="00DA56AD" w:rsidRPr="00B265F3" w:rsidRDefault="00DA56AD" w:rsidP="00DA56AD">
      <w:pPr>
        <w:pStyle w:val="paragraph"/>
        <w:spacing w:before="0" w:beforeAutospacing="0" w:after="0" w:afterAutospacing="0"/>
        <w:jc w:val="both"/>
        <w:textAlignment w:val="baseline"/>
        <w:rPr>
          <w:rFonts w:ascii="Cambria" w:eastAsiaTheme="minorHAnsi" w:hAnsi="Cambria" w:cs="Cambria"/>
          <w:color w:val="000000"/>
          <w:sz w:val="20"/>
          <w:szCs w:val="20"/>
        </w:rPr>
      </w:pPr>
    </w:p>
    <w:p w14:paraId="622EB964" w14:textId="77777777" w:rsidR="00DA56AD" w:rsidRPr="00B265F3" w:rsidRDefault="00DA56AD" w:rsidP="00DA56AD">
      <w:pPr>
        <w:pStyle w:val="paragraph"/>
        <w:spacing w:before="0" w:beforeAutospacing="0" w:after="0" w:afterAutospacing="0"/>
        <w:ind w:left="720" w:right="720"/>
        <w:jc w:val="both"/>
        <w:textAlignment w:val="baseline"/>
        <w:rPr>
          <w:rFonts w:ascii="Cambria" w:eastAsiaTheme="minorHAnsi" w:hAnsi="Cambria" w:cs="Cambria"/>
          <w:sz w:val="20"/>
          <w:szCs w:val="20"/>
        </w:rPr>
      </w:pPr>
      <w:r w:rsidRPr="00B265F3">
        <w:rPr>
          <w:rFonts w:ascii="Cambria" w:hAnsi="Cambria"/>
          <w:sz w:val="20"/>
        </w:rPr>
        <w:t>[…]</w:t>
      </w:r>
    </w:p>
    <w:p w14:paraId="358B1AC1" w14:textId="1FA9D917" w:rsidR="00DA56AD" w:rsidRPr="00B265F3" w:rsidRDefault="00DA56AD" w:rsidP="00DA56AD">
      <w:pPr>
        <w:pStyle w:val="paragraph"/>
        <w:spacing w:after="0"/>
        <w:ind w:left="720" w:right="720"/>
        <w:jc w:val="both"/>
        <w:textAlignment w:val="baseline"/>
        <w:rPr>
          <w:rFonts w:ascii="Cambria" w:eastAsiaTheme="minorHAnsi" w:hAnsi="Cambria" w:cs="Cambria"/>
          <w:sz w:val="20"/>
          <w:szCs w:val="20"/>
        </w:rPr>
      </w:pPr>
      <w:r w:rsidRPr="00B265F3">
        <w:rPr>
          <w:rFonts w:ascii="Cambria" w:hAnsi="Cambria"/>
          <w:sz w:val="20"/>
        </w:rPr>
        <w:t xml:space="preserve">I was very moved by the video in which the Toro family shows us the </w:t>
      </w:r>
      <w:r w:rsidR="00D113FD" w:rsidRPr="00B265F3">
        <w:rPr>
          <w:rFonts w:ascii="Cambria" w:hAnsi="Cambria"/>
          <w:sz w:val="20"/>
        </w:rPr>
        <w:t xml:space="preserve">different stages of </w:t>
      </w:r>
      <w:r w:rsidRPr="00B265F3">
        <w:rPr>
          <w:rFonts w:ascii="Cambria" w:hAnsi="Cambria"/>
          <w:sz w:val="20"/>
        </w:rPr>
        <w:t xml:space="preserve">suffering they endured after losing four (4) family members, in </w:t>
      </w:r>
      <w:proofErr w:type="gramStart"/>
      <w:r w:rsidRPr="00B265F3">
        <w:rPr>
          <w:rFonts w:ascii="Cambria" w:hAnsi="Cambria"/>
          <w:sz w:val="20"/>
        </w:rPr>
        <w:t>a period of time</w:t>
      </w:r>
      <w:proofErr w:type="gramEnd"/>
      <w:r w:rsidRPr="00B265F3">
        <w:rPr>
          <w:rFonts w:ascii="Cambria" w:hAnsi="Cambria"/>
          <w:sz w:val="20"/>
        </w:rPr>
        <w:t xml:space="preserve"> that went from 1982 to 2006 and in which we can see how painful it was to lose, one after the other, a family member and leaving sons and daughters in helplessness and orphanhood. I was also very moved by the statement made by the petitioner Julian Alberto Toro, who referred so eloquently to: "the lack of a father he has felt throughout his life.” I believe this reflects the human pain of losing a loved one, </w:t>
      </w:r>
      <w:proofErr w:type="gramStart"/>
      <w:r w:rsidRPr="00B265F3">
        <w:rPr>
          <w:rFonts w:ascii="Cambria" w:hAnsi="Cambria"/>
          <w:sz w:val="20"/>
        </w:rPr>
        <w:t xml:space="preserve">and </w:t>
      </w:r>
      <w:r w:rsidR="00D113FD" w:rsidRPr="00B265F3">
        <w:rPr>
          <w:rFonts w:ascii="Cambria" w:hAnsi="Cambria"/>
          <w:sz w:val="20"/>
        </w:rPr>
        <w:t>also</w:t>
      </w:r>
      <w:proofErr w:type="gramEnd"/>
      <w:r w:rsidR="00D113FD" w:rsidRPr="00B265F3">
        <w:rPr>
          <w:rFonts w:ascii="Cambria" w:hAnsi="Cambria"/>
          <w:sz w:val="20"/>
        </w:rPr>
        <w:t xml:space="preserve"> </w:t>
      </w:r>
      <w:r w:rsidRPr="00B265F3">
        <w:rPr>
          <w:rFonts w:ascii="Cambria" w:hAnsi="Cambria"/>
          <w:sz w:val="20"/>
        </w:rPr>
        <w:t xml:space="preserve">in complex circumstances </w:t>
      </w:r>
      <w:r w:rsidR="00D113FD" w:rsidRPr="00B265F3">
        <w:rPr>
          <w:rFonts w:ascii="Cambria" w:hAnsi="Cambria"/>
          <w:sz w:val="20"/>
        </w:rPr>
        <w:t xml:space="preserve">at a time </w:t>
      </w:r>
      <w:r w:rsidRPr="00B265F3">
        <w:rPr>
          <w:rFonts w:ascii="Cambria" w:hAnsi="Cambria"/>
          <w:sz w:val="20"/>
        </w:rPr>
        <w:t>marked by violence perpetrated by illegal armed groups against the innocent, hardworking population, who</w:t>
      </w:r>
      <w:r w:rsidR="00D113FD" w:rsidRPr="00B265F3">
        <w:rPr>
          <w:rFonts w:ascii="Cambria" w:hAnsi="Cambria"/>
          <w:sz w:val="20"/>
        </w:rPr>
        <w:t xml:space="preserve"> only wanted </w:t>
      </w:r>
      <w:r w:rsidRPr="00B265F3">
        <w:rPr>
          <w:rFonts w:ascii="Cambria" w:hAnsi="Cambria"/>
          <w:sz w:val="20"/>
        </w:rPr>
        <w:t>the wellbeing of their family and who were rooted to their land.</w:t>
      </w:r>
    </w:p>
    <w:p w14:paraId="348E2765" w14:textId="180726ED" w:rsidR="00DA56AD" w:rsidRPr="00B265F3" w:rsidRDefault="00DA56AD" w:rsidP="00DA56AD">
      <w:pPr>
        <w:pStyle w:val="paragraph"/>
        <w:spacing w:before="0" w:beforeAutospacing="0" w:after="0" w:afterAutospacing="0"/>
        <w:ind w:left="720" w:right="720"/>
        <w:jc w:val="both"/>
        <w:textAlignment w:val="baseline"/>
        <w:rPr>
          <w:rFonts w:ascii="Cambria" w:eastAsiaTheme="minorHAnsi" w:hAnsi="Cambria" w:cs="Cambria"/>
          <w:sz w:val="20"/>
          <w:szCs w:val="20"/>
        </w:rPr>
      </w:pPr>
      <w:r w:rsidRPr="00B265F3">
        <w:rPr>
          <w:rFonts w:ascii="Cambria" w:hAnsi="Cambria"/>
          <w:sz w:val="20"/>
        </w:rPr>
        <w:t xml:space="preserve">There are many cases that we have observed </w:t>
      </w:r>
      <w:r w:rsidR="00D113FD" w:rsidRPr="00B265F3">
        <w:rPr>
          <w:rFonts w:ascii="Cambria" w:hAnsi="Cambria"/>
          <w:sz w:val="20"/>
        </w:rPr>
        <w:t xml:space="preserve">at </w:t>
      </w:r>
      <w:r w:rsidRPr="00B265F3">
        <w:rPr>
          <w:rFonts w:ascii="Cambria" w:hAnsi="Cambria"/>
          <w:sz w:val="20"/>
        </w:rPr>
        <w:t xml:space="preserve">the Commission and we are glad when, as today, they begin a process of integral reparation. I believe that we should all feel satisfied that the States have </w:t>
      </w:r>
      <w:r w:rsidR="00D113FD" w:rsidRPr="00B265F3">
        <w:rPr>
          <w:rFonts w:ascii="Cambria" w:hAnsi="Cambria"/>
          <w:sz w:val="20"/>
        </w:rPr>
        <w:t xml:space="preserve">given themselves </w:t>
      </w:r>
      <w:r w:rsidRPr="00B265F3">
        <w:rPr>
          <w:rFonts w:ascii="Cambria" w:hAnsi="Cambria"/>
          <w:sz w:val="20"/>
        </w:rPr>
        <w:t>an Inter-American Human Rights System since 1959. In this way, when it is not possible to carry out reparation</w:t>
      </w:r>
      <w:r w:rsidR="00D113FD" w:rsidRPr="00B265F3">
        <w:rPr>
          <w:rFonts w:ascii="Cambria" w:hAnsi="Cambria"/>
          <w:sz w:val="20"/>
        </w:rPr>
        <w:t>s</w:t>
      </w:r>
      <w:r w:rsidRPr="00B265F3">
        <w:rPr>
          <w:rFonts w:ascii="Cambria" w:hAnsi="Cambria"/>
          <w:sz w:val="20"/>
        </w:rPr>
        <w:t xml:space="preserve"> </w:t>
      </w:r>
      <w:r w:rsidR="00D113FD" w:rsidRPr="00B265F3">
        <w:rPr>
          <w:rFonts w:ascii="Cambria" w:hAnsi="Cambria"/>
          <w:sz w:val="20"/>
        </w:rPr>
        <w:t xml:space="preserve">for </w:t>
      </w:r>
      <w:r w:rsidRPr="00B265F3">
        <w:rPr>
          <w:rFonts w:ascii="Cambria" w:hAnsi="Cambria"/>
          <w:sz w:val="20"/>
        </w:rPr>
        <w:t xml:space="preserve">the violations at the national level, the victims have access to the inter-American system so that it can assess the human rights violations and formulate pertinent recommendations to the State. It is particularly gratifying to work on cases such as the one before us today, because once the Commission finds that there is merit </w:t>
      </w:r>
      <w:r w:rsidR="00D113FD" w:rsidRPr="00B265F3">
        <w:rPr>
          <w:rFonts w:ascii="Cambria" w:hAnsi="Cambria"/>
          <w:sz w:val="20"/>
        </w:rPr>
        <w:t xml:space="preserve">for the admissibility of </w:t>
      </w:r>
      <w:r w:rsidRPr="00B265F3">
        <w:rPr>
          <w:rFonts w:ascii="Cambria" w:hAnsi="Cambria"/>
          <w:sz w:val="20"/>
        </w:rPr>
        <w:t xml:space="preserve">a petition, as in this case, the State and the petitioners immediately reach an agreement to initiate a friendly settlement process. Not only is it an </w:t>
      </w:r>
      <w:r w:rsidRPr="00B265F3">
        <w:rPr>
          <w:rFonts w:ascii="Cambria" w:hAnsi="Cambria"/>
          <w:sz w:val="20"/>
        </w:rPr>
        <w:lastRenderedPageBreak/>
        <w:t xml:space="preserve">efficient and effective process, since it allows us to </w:t>
      </w:r>
      <w:r w:rsidR="00D113FD" w:rsidRPr="00B265F3">
        <w:rPr>
          <w:rFonts w:ascii="Cambria" w:hAnsi="Cambria"/>
          <w:sz w:val="20"/>
        </w:rPr>
        <w:t xml:space="preserve">carry out </w:t>
      </w:r>
      <w:r w:rsidRPr="00B265F3">
        <w:rPr>
          <w:rFonts w:ascii="Cambria" w:hAnsi="Cambria"/>
          <w:sz w:val="20"/>
        </w:rPr>
        <w:t xml:space="preserve">reparation </w:t>
      </w:r>
      <w:r w:rsidR="00D113FD" w:rsidRPr="00B265F3">
        <w:rPr>
          <w:rFonts w:ascii="Cambria" w:hAnsi="Cambria"/>
          <w:sz w:val="20"/>
        </w:rPr>
        <w:t>in a more reasonable time</w:t>
      </w:r>
      <w:r w:rsidRPr="00B265F3">
        <w:rPr>
          <w:rFonts w:ascii="Cambria" w:hAnsi="Cambria"/>
          <w:sz w:val="20"/>
        </w:rPr>
        <w:t xml:space="preserve">. It is also a very valuable process because here the victims themselves </w:t>
      </w:r>
      <w:r w:rsidR="00D113FD" w:rsidRPr="00B265F3">
        <w:rPr>
          <w:rFonts w:ascii="Cambria" w:hAnsi="Cambria"/>
          <w:sz w:val="20"/>
        </w:rPr>
        <w:t xml:space="preserve">make the </w:t>
      </w:r>
      <w:r w:rsidRPr="00B265F3">
        <w:rPr>
          <w:rFonts w:ascii="Cambria" w:hAnsi="Cambria"/>
          <w:sz w:val="20"/>
        </w:rPr>
        <w:t xml:space="preserve">process </w:t>
      </w:r>
      <w:r w:rsidR="00D113FD" w:rsidRPr="00B265F3">
        <w:rPr>
          <w:rFonts w:ascii="Cambria" w:hAnsi="Cambria"/>
          <w:sz w:val="20"/>
        </w:rPr>
        <w:t xml:space="preserve">their own </w:t>
      </w:r>
      <w:r w:rsidRPr="00B265F3">
        <w:rPr>
          <w:rFonts w:ascii="Cambria" w:hAnsi="Cambria"/>
          <w:sz w:val="20"/>
        </w:rPr>
        <w:t xml:space="preserve">and they are the ones who </w:t>
      </w:r>
      <w:r w:rsidR="00D113FD" w:rsidRPr="00B265F3">
        <w:rPr>
          <w:rFonts w:ascii="Cambria" w:hAnsi="Cambria"/>
          <w:sz w:val="20"/>
        </w:rPr>
        <w:t>are shaping</w:t>
      </w:r>
      <w:r w:rsidRPr="00B265F3">
        <w:rPr>
          <w:rFonts w:ascii="Cambria" w:hAnsi="Cambria"/>
          <w:sz w:val="20"/>
        </w:rPr>
        <w:t xml:space="preserve">, </w:t>
      </w:r>
      <w:r w:rsidR="00D113FD" w:rsidRPr="00B265F3">
        <w:rPr>
          <w:rFonts w:ascii="Cambria" w:hAnsi="Cambria"/>
          <w:sz w:val="20"/>
        </w:rPr>
        <w:t xml:space="preserve">through </w:t>
      </w:r>
      <w:r w:rsidRPr="00B265F3">
        <w:rPr>
          <w:rFonts w:ascii="Cambria" w:hAnsi="Cambria"/>
          <w:sz w:val="20"/>
        </w:rPr>
        <w:t>their representati</w:t>
      </w:r>
      <w:r w:rsidR="00D113FD" w:rsidRPr="00B265F3">
        <w:rPr>
          <w:rFonts w:ascii="Cambria" w:hAnsi="Cambria"/>
          <w:sz w:val="20"/>
        </w:rPr>
        <w:t>on</w:t>
      </w:r>
      <w:r w:rsidRPr="00B265F3">
        <w:rPr>
          <w:rFonts w:ascii="Cambria" w:hAnsi="Cambria"/>
          <w:sz w:val="20"/>
        </w:rPr>
        <w:t xml:space="preserve">, but hand in hand with the State, the measures </w:t>
      </w:r>
      <w:r w:rsidR="00D113FD" w:rsidRPr="00B265F3">
        <w:rPr>
          <w:rFonts w:ascii="Cambria" w:hAnsi="Cambria"/>
          <w:sz w:val="20"/>
        </w:rPr>
        <w:t xml:space="preserve">that will allow them </w:t>
      </w:r>
      <w:r w:rsidRPr="00B265F3">
        <w:rPr>
          <w:rFonts w:ascii="Cambria" w:hAnsi="Cambria"/>
          <w:sz w:val="20"/>
        </w:rPr>
        <w:t xml:space="preserve">to </w:t>
      </w:r>
      <w:proofErr w:type="spellStart"/>
      <w:r w:rsidR="00D113FD" w:rsidRPr="00B265F3">
        <w:rPr>
          <w:rFonts w:ascii="Cambria" w:hAnsi="Cambria"/>
          <w:sz w:val="20"/>
        </w:rPr>
        <w:t>to</w:t>
      </w:r>
      <w:proofErr w:type="spellEnd"/>
      <w:r w:rsidR="00D113FD" w:rsidRPr="00B265F3">
        <w:rPr>
          <w:rFonts w:ascii="Cambria" w:hAnsi="Cambria"/>
          <w:sz w:val="20"/>
        </w:rPr>
        <w:t xml:space="preserve"> </w:t>
      </w:r>
      <w:proofErr w:type="spellStart"/>
      <w:r w:rsidR="00D113FD" w:rsidRPr="00B265F3">
        <w:rPr>
          <w:rFonts w:ascii="Cambria" w:hAnsi="Cambria"/>
          <w:sz w:val="20"/>
        </w:rPr>
        <w:t>fufil</w:t>
      </w:r>
      <w:proofErr w:type="spellEnd"/>
      <w:r w:rsidR="00D113FD" w:rsidRPr="00B265F3">
        <w:rPr>
          <w:rFonts w:ascii="Cambria" w:hAnsi="Cambria"/>
          <w:sz w:val="20"/>
        </w:rPr>
        <w:t xml:space="preserve"> </w:t>
      </w:r>
      <w:proofErr w:type="spellStart"/>
      <w:proofErr w:type="gramStart"/>
      <w:r w:rsidR="00D113FD" w:rsidRPr="00B265F3">
        <w:rPr>
          <w:rFonts w:ascii="Cambria" w:hAnsi="Cambria"/>
          <w:sz w:val="20"/>
        </w:rPr>
        <w:t>a</w:t>
      </w:r>
      <w:proofErr w:type="spellEnd"/>
      <w:proofErr w:type="gramEnd"/>
      <w:r w:rsidR="00D113FD" w:rsidRPr="00B265F3">
        <w:rPr>
          <w:rFonts w:ascii="Cambria" w:hAnsi="Cambria"/>
          <w:sz w:val="20"/>
        </w:rPr>
        <w:t xml:space="preserve"> integral </w:t>
      </w:r>
      <w:r w:rsidRPr="00B265F3">
        <w:rPr>
          <w:rFonts w:ascii="Cambria" w:hAnsi="Cambria"/>
          <w:sz w:val="20"/>
        </w:rPr>
        <w:t xml:space="preserve">reparation. Unfortunately, we cannot bring back to life the people who lost their lives over the years, but at least each of the components of the friendly settlement agreement that has been signed will allow us to </w:t>
      </w:r>
      <w:r w:rsidR="00D113FD" w:rsidRPr="00B265F3">
        <w:rPr>
          <w:rFonts w:ascii="Cambria" w:hAnsi="Cambria"/>
          <w:sz w:val="20"/>
        </w:rPr>
        <w:t xml:space="preserve">make progress in </w:t>
      </w:r>
      <w:r w:rsidRPr="00B265F3">
        <w:rPr>
          <w:rFonts w:ascii="Cambria" w:hAnsi="Cambria"/>
          <w:sz w:val="20"/>
        </w:rPr>
        <w:t>reconciliation within the petitioners, but also with the State, for the omissions incurred. In this way, we will be re</w:t>
      </w:r>
      <w:r w:rsidR="00D113FD" w:rsidRPr="00B265F3">
        <w:rPr>
          <w:rFonts w:ascii="Cambria" w:hAnsi="Cambria"/>
          <w:sz w:val="20"/>
        </w:rPr>
        <w:t xml:space="preserve">claiming </w:t>
      </w:r>
      <w:r w:rsidRPr="00B265F3">
        <w:rPr>
          <w:rFonts w:ascii="Cambria" w:hAnsi="Cambria"/>
          <w:sz w:val="20"/>
        </w:rPr>
        <w:t xml:space="preserve">the memory of our loved ones, of those who lost their lives, and at the same time, measures will be taken to advance towards justice.  </w:t>
      </w:r>
    </w:p>
    <w:p w14:paraId="1F8430E1" w14:textId="77777777" w:rsidR="00DA56AD" w:rsidRPr="00B265F3" w:rsidRDefault="00DA56AD" w:rsidP="00DA56AD">
      <w:pPr>
        <w:pStyle w:val="paragraph"/>
        <w:spacing w:before="0" w:beforeAutospacing="0" w:after="0" w:afterAutospacing="0"/>
        <w:ind w:right="720"/>
        <w:jc w:val="both"/>
        <w:textAlignment w:val="baseline"/>
        <w:rPr>
          <w:rFonts w:ascii="Cambria" w:eastAsiaTheme="minorHAnsi" w:hAnsi="Cambria" w:cs="Cambria"/>
          <w:sz w:val="20"/>
          <w:szCs w:val="20"/>
        </w:rPr>
      </w:pPr>
    </w:p>
    <w:p w14:paraId="36139877" w14:textId="656D0259" w:rsidR="00D96EC6" w:rsidRPr="00B265F3" w:rsidRDefault="00D96EC6" w:rsidP="002341A5">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proofErr w:type="gramStart"/>
      <w:r w:rsidRPr="00B265F3">
        <w:rPr>
          <w:rFonts w:ascii="Cambria" w:hAnsi="Cambria"/>
          <w:sz w:val="20"/>
        </w:rPr>
        <w:t>In light of</w:t>
      </w:r>
      <w:proofErr w:type="gramEnd"/>
      <w:r w:rsidRPr="00B265F3">
        <w:rPr>
          <w:rFonts w:ascii="Cambria" w:hAnsi="Cambria"/>
          <w:sz w:val="20"/>
        </w:rPr>
        <w:t xml:space="preserve"> the above and of the information provided jointly by the parties, the Commission considers, and hereby declares, that paragraph (i) of clause five of the friendly settlement agreement, related to the act of acknowledgment of responsibility, </w:t>
      </w:r>
      <w:r w:rsidR="00D113FD" w:rsidRPr="00B265F3">
        <w:rPr>
          <w:rFonts w:ascii="Cambria" w:hAnsi="Cambria"/>
          <w:sz w:val="20"/>
        </w:rPr>
        <w:t xml:space="preserve">has been </w:t>
      </w:r>
      <w:r w:rsidRPr="00B265F3">
        <w:rPr>
          <w:rFonts w:ascii="Cambria" w:hAnsi="Cambria"/>
          <w:sz w:val="20"/>
        </w:rPr>
        <w:t>fully complied with.</w:t>
      </w:r>
    </w:p>
    <w:p w14:paraId="28CCE63F" w14:textId="77777777" w:rsidR="00D96EC6" w:rsidRPr="00B265F3" w:rsidRDefault="00D96EC6" w:rsidP="00D96EC6">
      <w:pPr>
        <w:pStyle w:val="paragraph"/>
        <w:tabs>
          <w:tab w:val="num" w:pos="720"/>
        </w:tabs>
        <w:spacing w:before="0" w:beforeAutospacing="0" w:after="0" w:afterAutospacing="0"/>
        <w:ind w:firstLine="720"/>
        <w:jc w:val="both"/>
        <w:textAlignment w:val="baseline"/>
        <w:rPr>
          <w:rFonts w:ascii="Cambria" w:hAnsi="Cambria" w:cs="Segoe UI"/>
          <w:sz w:val="20"/>
          <w:szCs w:val="20"/>
        </w:rPr>
      </w:pPr>
    </w:p>
    <w:p w14:paraId="53082898" w14:textId="4721B510" w:rsidR="008901ED" w:rsidRPr="00017098" w:rsidRDefault="008901ED" w:rsidP="00017098">
      <w:pPr>
        <w:pStyle w:val="paragraph"/>
        <w:numPr>
          <w:ilvl w:val="0"/>
          <w:numId w:val="56"/>
        </w:numPr>
        <w:spacing w:before="0" w:beforeAutospacing="0" w:after="0" w:afterAutospacing="0"/>
        <w:ind w:left="0" w:firstLine="720"/>
        <w:jc w:val="both"/>
        <w:textAlignment w:val="baseline"/>
        <w:rPr>
          <w:rFonts w:ascii="Cambria" w:hAnsi="Cambria"/>
          <w:sz w:val="20"/>
        </w:rPr>
      </w:pPr>
      <w:r w:rsidRPr="00B265F3">
        <w:rPr>
          <w:rFonts w:ascii="Cambria" w:hAnsi="Cambria"/>
          <w:sz w:val="20"/>
        </w:rPr>
        <w:t xml:space="preserve">In relation to clause six (justice measures), on March 21, 2023, the parties jointly reported the existence of regular communication between the State and the petitioners and confirmed that on February 28, 2023, a meeting was held to report on the progress made in the judicial </w:t>
      </w:r>
      <w:r w:rsidR="00D113FD" w:rsidRPr="00B265F3">
        <w:rPr>
          <w:rFonts w:ascii="Cambria" w:hAnsi="Cambria"/>
          <w:sz w:val="20"/>
        </w:rPr>
        <w:t>process</w:t>
      </w:r>
      <w:r w:rsidRPr="00B265F3">
        <w:rPr>
          <w:rFonts w:ascii="Cambria" w:hAnsi="Cambria"/>
          <w:sz w:val="20"/>
        </w:rPr>
        <w:t xml:space="preserve">, in connection with investigation number 76111600024720220000001, with </w:t>
      </w:r>
      <w:r w:rsidR="00D113FD" w:rsidRPr="00B265F3">
        <w:rPr>
          <w:rFonts w:ascii="Cambria" w:hAnsi="Cambria"/>
          <w:sz w:val="20"/>
        </w:rPr>
        <w:t xml:space="preserve">the aim of clarifying </w:t>
      </w:r>
      <w:r w:rsidRPr="00B265F3">
        <w:rPr>
          <w:rFonts w:ascii="Cambria" w:hAnsi="Cambria"/>
          <w:sz w:val="20"/>
        </w:rPr>
        <w:t xml:space="preserve">the facts and possibly identifying and </w:t>
      </w:r>
      <w:r w:rsidR="00D113FD" w:rsidRPr="00B265F3">
        <w:rPr>
          <w:rFonts w:ascii="Cambria" w:hAnsi="Cambria"/>
          <w:sz w:val="20"/>
        </w:rPr>
        <w:t xml:space="preserve">individualizing </w:t>
      </w:r>
      <w:r w:rsidRPr="00B265F3">
        <w:rPr>
          <w:rFonts w:ascii="Cambria" w:hAnsi="Cambria"/>
          <w:sz w:val="20"/>
        </w:rPr>
        <w:t xml:space="preserve">the perpetrators and participants. In this regard, the parties indicated that the measure has been gradually complied with and several meetings have been held, led by the Prosecutor in the case and attended by the parties. Both the victims and their representatives stated that they greatly appreciate the efforts made by the officials of the Attorney General's Office to advance the investigation and comply with the measure. </w:t>
      </w:r>
    </w:p>
    <w:p w14:paraId="53B44E0A" w14:textId="77777777" w:rsidR="008901ED" w:rsidRPr="00B265F3" w:rsidRDefault="008901ED" w:rsidP="008901ED">
      <w:pPr>
        <w:pStyle w:val="paragraph"/>
        <w:spacing w:before="0" w:beforeAutospacing="0" w:after="0" w:afterAutospacing="0"/>
        <w:ind w:firstLine="810"/>
        <w:jc w:val="both"/>
        <w:textAlignment w:val="baseline"/>
        <w:rPr>
          <w:rFonts w:ascii="Cambria" w:hAnsi="Cambria" w:cs="Segoe UI"/>
          <w:sz w:val="20"/>
          <w:szCs w:val="20"/>
        </w:rPr>
      </w:pPr>
    </w:p>
    <w:p w14:paraId="5E1BDEBB" w14:textId="7449A452" w:rsidR="008901ED" w:rsidRPr="00017098" w:rsidRDefault="008901ED" w:rsidP="00017098">
      <w:pPr>
        <w:pStyle w:val="paragraph"/>
        <w:numPr>
          <w:ilvl w:val="0"/>
          <w:numId w:val="56"/>
        </w:numPr>
        <w:spacing w:before="0" w:beforeAutospacing="0" w:after="0" w:afterAutospacing="0"/>
        <w:ind w:left="0" w:firstLine="720"/>
        <w:jc w:val="both"/>
        <w:textAlignment w:val="baseline"/>
        <w:rPr>
          <w:rFonts w:ascii="Cambria" w:hAnsi="Cambria"/>
          <w:sz w:val="20"/>
        </w:rPr>
      </w:pPr>
      <w:r w:rsidRPr="00B265F3">
        <w:rPr>
          <w:rFonts w:ascii="Cambria" w:hAnsi="Cambria"/>
          <w:sz w:val="20"/>
        </w:rPr>
        <w:t xml:space="preserve">However, at the request of the Toro Ortiz </w:t>
      </w:r>
      <w:r w:rsidR="00D113FD" w:rsidRPr="00B265F3">
        <w:rPr>
          <w:rFonts w:ascii="Cambria" w:hAnsi="Cambria"/>
          <w:sz w:val="20"/>
        </w:rPr>
        <w:t>f</w:t>
      </w:r>
      <w:r w:rsidRPr="00B265F3">
        <w:rPr>
          <w:rFonts w:ascii="Cambria" w:hAnsi="Cambria"/>
          <w:sz w:val="20"/>
        </w:rPr>
        <w:t xml:space="preserve">amily and their representatives, </w:t>
      </w:r>
      <w:r w:rsidR="00D113FD" w:rsidRPr="00B265F3">
        <w:rPr>
          <w:rFonts w:ascii="Cambria" w:hAnsi="Cambria"/>
          <w:sz w:val="20"/>
        </w:rPr>
        <w:t xml:space="preserve">by means of </w:t>
      </w:r>
      <w:proofErr w:type="gramStart"/>
      <w:r w:rsidRPr="00B265F3">
        <w:rPr>
          <w:rFonts w:ascii="Cambria" w:hAnsi="Cambria"/>
          <w:sz w:val="20"/>
        </w:rPr>
        <w:t>a  communication</w:t>
      </w:r>
      <w:proofErr w:type="gramEnd"/>
      <w:r w:rsidRPr="00B265F3">
        <w:rPr>
          <w:rFonts w:ascii="Cambria" w:hAnsi="Cambria"/>
          <w:sz w:val="20"/>
        </w:rPr>
        <w:t xml:space="preserve"> dated March 8, 2023, they indicated that they did not wish to continue with the follow-up of the investigation being </w:t>
      </w:r>
      <w:r w:rsidR="00D113FD" w:rsidRPr="00B265F3">
        <w:rPr>
          <w:rFonts w:ascii="Cambria" w:hAnsi="Cambria"/>
          <w:sz w:val="20"/>
        </w:rPr>
        <w:t xml:space="preserve">conducted </w:t>
      </w:r>
      <w:r w:rsidRPr="00B265F3">
        <w:rPr>
          <w:rFonts w:ascii="Cambria" w:hAnsi="Cambria"/>
          <w:sz w:val="20"/>
        </w:rPr>
        <w:t xml:space="preserve">by the Prosecutor’s Office. The parties clarified that, although the Attorney General's Office will continue with its investigative work in the present case outside the </w:t>
      </w:r>
      <w:r w:rsidR="00D113FD" w:rsidRPr="00B265F3">
        <w:rPr>
          <w:rFonts w:ascii="Cambria" w:hAnsi="Cambria"/>
          <w:sz w:val="20"/>
        </w:rPr>
        <w:t xml:space="preserve">follow-up </w:t>
      </w:r>
      <w:r w:rsidRPr="00B265F3">
        <w:rPr>
          <w:rFonts w:ascii="Cambria" w:hAnsi="Cambria"/>
          <w:sz w:val="20"/>
        </w:rPr>
        <w:t xml:space="preserve">framework mechanism on implementation of the FSA </w:t>
      </w:r>
      <w:r w:rsidR="00D113FD" w:rsidRPr="00B265F3">
        <w:rPr>
          <w:rFonts w:ascii="Cambria" w:hAnsi="Cambria"/>
          <w:sz w:val="20"/>
        </w:rPr>
        <w:t xml:space="preserve">of </w:t>
      </w:r>
      <w:r w:rsidRPr="00B265F3">
        <w:rPr>
          <w:rFonts w:ascii="Cambria" w:hAnsi="Cambria"/>
          <w:sz w:val="20"/>
        </w:rPr>
        <w:t xml:space="preserve">the Annual Report of the IACHR, at the same time they asked the Commission to </w:t>
      </w:r>
      <w:r w:rsidR="00D113FD" w:rsidRPr="00B265F3">
        <w:rPr>
          <w:rFonts w:ascii="Cambria" w:hAnsi="Cambria"/>
          <w:sz w:val="20"/>
        </w:rPr>
        <w:t>assess</w:t>
      </w:r>
      <w:r w:rsidRPr="00B265F3">
        <w:rPr>
          <w:rFonts w:ascii="Cambria" w:hAnsi="Cambria"/>
          <w:sz w:val="20"/>
        </w:rPr>
        <w:t xml:space="preserve"> the progress made in the compliance with the measure and to </w:t>
      </w:r>
      <w:r w:rsidR="00D113FD" w:rsidRPr="00B265F3">
        <w:rPr>
          <w:rFonts w:ascii="Cambria" w:hAnsi="Cambria"/>
          <w:sz w:val="20"/>
        </w:rPr>
        <w:t xml:space="preserve">cease </w:t>
      </w:r>
      <w:r w:rsidRPr="00B265F3">
        <w:rPr>
          <w:rFonts w:ascii="Cambria" w:hAnsi="Cambria"/>
          <w:sz w:val="20"/>
        </w:rPr>
        <w:t xml:space="preserve">supervision of </w:t>
      </w:r>
      <w:r w:rsidR="00D113FD" w:rsidRPr="00B265F3">
        <w:rPr>
          <w:rFonts w:ascii="Cambria" w:hAnsi="Cambria"/>
          <w:sz w:val="20"/>
        </w:rPr>
        <w:t>said end</w:t>
      </w:r>
      <w:r w:rsidRPr="00B265F3">
        <w:rPr>
          <w:rFonts w:ascii="Cambria" w:hAnsi="Cambria"/>
          <w:sz w:val="20"/>
        </w:rPr>
        <w:t xml:space="preserve"> of the agreement. In this regard, </w:t>
      </w:r>
      <w:r w:rsidR="00D113FD" w:rsidRPr="00B265F3">
        <w:rPr>
          <w:rFonts w:ascii="Cambria" w:hAnsi="Cambria"/>
          <w:sz w:val="20"/>
        </w:rPr>
        <w:t xml:space="preserve">taking into consideration what was indicated </w:t>
      </w:r>
      <w:r w:rsidRPr="00B265F3">
        <w:rPr>
          <w:rFonts w:ascii="Cambria" w:hAnsi="Cambria"/>
          <w:sz w:val="20"/>
        </w:rPr>
        <w:t xml:space="preserve">by the parties, the Commission considers that </w:t>
      </w:r>
      <w:r w:rsidR="00D113FD" w:rsidRPr="00B265F3">
        <w:rPr>
          <w:rFonts w:ascii="Cambria" w:hAnsi="Cambria"/>
          <w:sz w:val="20"/>
        </w:rPr>
        <w:t xml:space="preserve">with regard to this </w:t>
      </w:r>
      <w:r w:rsidRPr="00B265F3">
        <w:rPr>
          <w:rFonts w:ascii="Cambria" w:hAnsi="Cambria"/>
          <w:sz w:val="20"/>
        </w:rPr>
        <w:t xml:space="preserve">aspect of the agreement </w:t>
      </w:r>
      <w:r w:rsidR="00D113FD" w:rsidRPr="00B265F3">
        <w:rPr>
          <w:rFonts w:ascii="Cambria" w:hAnsi="Cambria"/>
          <w:sz w:val="20"/>
        </w:rPr>
        <w:t xml:space="preserve">a </w:t>
      </w:r>
      <w:r w:rsidRPr="00B265F3">
        <w:rPr>
          <w:rFonts w:ascii="Cambria" w:hAnsi="Cambria"/>
          <w:sz w:val="20"/>
        </w:rPr>
        <w:t xml:space="preserve">level of partial compliance </w:t>
      </w:r>
      <w:r w:rsidR="00D113FD" w:rsidRPr="00B265F3">
        <w:rPr>
          <w:rFonts w:ascii="Cambria" w:hAnsi="Cambria"/>
          <w:sz w:val="20"/>
        </w:rPr>
        <w:t xml:space="preserve">has been reached </w:t>
      </w:r>
      <w:r w:rsidRPr="00B265F3">
        <w:rPr>
          <w:rFonts w:ascii="Cambria" w:hAnsi="Cambria"/>
          <w:sz w:val="20"/>
        </w:rPr>
        <w:t xml:space="preserve">and, by virtue of the withdrawal of the victims' </w:t>
      </w:r>
      <w:r w:rsidR="00D113FD" w:rsidRPr="00B265F3">
        <w:rPr>
          <w:rFonts w:ascii="Cambria" w:hAnsi="Cambria"/>
          <w:sz w:val="20"/>
        </w:rPr>
        <w:t>family</w:t>
      </w:r>
      <w:r w:rsidRPr="00B265F3">
        <w:rPr>
          <w:rFonts w:ascii="Cambria" w:hAnsi="Cambria"/>
          <w:sz w:val="20"/>
        </w:rPr>
        <w:t xml:space="preserve">, it decides to cease its supervision, reminding the State of its duty to continue with the investigations and punishment of those responsible, even though this measure is no longer </w:t>
      </w:r>
      <w:proofErr w:type="spellStart"/>
      <w:r w:rsidRPr="00B265F3">
        <w:rPr>
          <w:rFonts w:ascii="Cambria" w:hAnsi="Cambria"/>
          <w:sz w:val="20"/>
        </w:rPr>
        <w:t>a</w:t>
      </w:r>
      <w:proofErr w:type="spellEnd"/>
      <w:r w:rsidRPr="00B265F3">
        <w:rPr>
          <w:rFonts w:ascii="Cambria" w:hAnsi="Cambria"/>
          <w:sz w:val="20"/>
        </w:rPr>
        <w:t xml:space="preserve"> </w:t>
      </w:r>
      <w:r w:rsidR="00D113FD" w:rsidRPr="00B265F3">
        <w:rPr>
          <w:rFonts w:ascii="Cambria" w:hAnsi="Cambria"/>
          <w:sz w:val="20"/>
        </w:rPr>
        <w:t xml:space="preserve">aspect </w:t>
      </w:r>
      <w:r w:rsidRPr="00B265F3">
        <w:rPr>
          <w:rFonts w:ascii="Cambria" w:hAnsi="Cambria"/>
          <w:sz w:val="20"/>
        </w:rPr>
        <w:t xml:space="preserve">of the FSA. </w:t>
      </w:r>
    </w:p>
    <w:p w14:paraId="18146DBF" w14:textId="77777777" w:rsidR="008901ED" w:rsidRPr="00017098" w:rsidRDefault="008901ED" w:rsidP="00017098">
      <w:pPr>
        <w:pStyle w:val="paragraph"/>
        <w:spacing w:before="0" w:beforeAutospacing="0" w:after="0" w:afterAutospacing="0"/>
        <w:ind w:left="720"/>
        <w:jc w:val="both"/>
        <w:textAlignment w:val="baseline"/>
        <w:rPr>
          <w:rFonts w:ascii="Cambria" w:hAnsi="Cambria"/>
          <w:sz w:val="20"/>
        </w:rPr>
      </w:pPr>
    </w:p>
    <w:p w14:paraId="6CD2561A" w14:textId="4831CDBB" w:rsidR="008901ED" w:rsidRDefault="008901ED" w:rsidP="00017098">
      <w:pPr>
        <w:pStyle w:val="paragraph"/>
        <w:numPr>
          <w:ilvl w:val="0"/>
          <w:numId w:val="56"/>
        </w:numPr>
        <w:spacing w:before="0" w:beforeAutospacing="0" w:after="0" w:afterAutospacing="0"/>
        <w:ind w:left="0" w:firstLine="720"/>
        <w:jc w:val="both"/>
        <w:textAlignment w:val="baseline"/>
        <w:rPr>
          <w:rFonts w:ascii="Cambria" w:hAnsi="Cambria"/>
          <w:sz w:val="20"/>
        </w:rPr>
      </w:pPr>
      <w:r w:rsidRPr="00B265F3">
        <w:rPr>
          <w:rFonts w:ascii="Cambria" w:hAnsi="Cambria"/>
          <w:sz w:val="20"/>
        </w:rPr>
        <w:t xml:space="preserve">In relation to paragraphs </w:t>
      </w:r>
      <w:r w:rsidRPr="00017098">
        <w:rPr>
          <w:rFonts w:ascii="Cambria" w:hAnsi="Cambria"/>
          <w:sz w:val="20"/>
        </w:rPr>
        <w:t>(ii) publication of the Article 49 Report,</w:t>
      </w:r>
      <w:r w:rsidRPr="00B265F3">
        <w:rPr>
          <w:rFonts w:ascii="Cambria" w:hAnsi="Cambria"/>
          <w:sz w:val="20"/>
        </w:rPr>
        <w:t xml:space="preserve"> </w:t>
      </w:r>
      <w:r w:rsidRPr="00017098">
        <w:rPr>
          <w:rFonts w:ascii="Cambria" w:hAnsi="Cambria"/>
          <w:sz w:val="20"/>
        </w:rPr>
        <w:t>(iii)  educational grants</w:t>
      </w:r>
      <w:r w:rsidRPr="00B265F3">
        <w:rPr>
          <w:rFonts w:ascii="Cambria" w:hAnsi="Cambria"/>
          <w:sz w:val="20"/>
        </w:rPr>
        <w:t>, and</w:t>
      </w:r>
      <w:r w:rsidRPr="00017098">
        <w:rPr>
          <w:rFonts w:ascii="Cambria" w:hAnsi="Cambria"/>
          <w:sz w:val="20"/>
        </w:rPr>
        <w:t xml:space="preserve"> (iv) Working Groups with the Ministry of Housing, City and Territory,</w:t>
      </w:r>
      <w:r w:rsidRPr="00B265F3">
        <w:rPr>
          <w:rFonts w:ascii="Cambria" w:hAnsi="Cambria"/>
          <w:sz w:val="20"/>
        </w:rPr>
        <w:t xml:space="preserve"> of the fifth clause (satisfaction measures), as well as the seventh clause (compensation measures) of the friendly settlement agreement, and by virtue of the joint request of the parties to advance with the approval of the agreement prior to its execution, the Commission observes that said measures shall be fulfilled after the publication of this report. It therefore considers, and hereby declares, that compliance with them is still pending. </w:t>
      </w:r>
      <w:proofErr w:type="gramStart"/>
      <w:r w:rsidRPr="00B265F3">
        <w:rPr>
          <w:rFonts w:ascii="Cambria" w:hAnsi="Cambria"/>
          <w:sz w:val="20"/>
        </w:rPr>
        <w:t>In light of</w:t>
      </w:r>
      <w:proofErr w:type="gramEnd"/>
      <w:r w:rsidRPr="00B265F3">
        <w:rPr>
          <w:rFonts w:ascii="Cambria" w:hAnsi="Cambria"/>
          <w:sz w:val="20"/>
        </w:rPr>
        <w:t xml:space="preserve"> the above, the Commission will await updated information from the parties on their execution subsequent to the approval of this report.</w:t>
      </w:r>
    </w:p>
    <w:p w14:paraId="3454A269" w14:textId="77777777" w:rsidR="00017098" w:rsidRDefault="00017098" w:rsidP="00017098">
      <w:pPr>
        <w:pStyle w:val="paragraph"/>
        <w:spacing w:before="0" w:beforeAutospacing="0" w:after="0" w:afterAutospacing="0"/>
        <w:jc w:val="both"/>
        <w:textAlignment w:val="baseline"/>
        <w:rPr>
          <w:rFonts w:ascii="Cambria" w:hAnsi="Cambria"/>
          <w:sz w:val="20"/>
        </w:rPr>
      </w:pPr>
    </w:p>
    <w:p w14:paraId="6544B1B8" w14:textId="39AE6729" w:rsidR="008901ED" w:rsidRPr="00017098" w:rsidRDefault="008901ED" w:rsidP="00017098">
      <w:pPr>
        <w:pStyle w:val="paragraph"/>
        <w:numPr>
          <w:ilvl w:val="0"/>
          <w:numId w:val="56"/>
        </w:numPr>
        <w:spacing w:before="0" w:beforeAutospacing="0" w:after="0" w:afterAutospacing="0"/>
        <w:ind w:left="0" w:firstLine="720"/>
        <w:jc w:val="both"/>
        <w:textAlignment w:val="baseline"/>
        <w:rPr>
          <w:rFonts w:ascii="Cambria" w:hAnsi="Cambria"/>
          <w:sz w:val="20"/>
        </w:rPr>
      </w:pPr>
      <w:r w:rsidRPr="00B265F3">
        <w:rPr>
          <w:rFonts w:ascii="Cambria" w:hAnsi="Cambria"/>
          <w:sz w:val="20"/>
        </w:rPr>
        <w:t xml:space="preserve">In view of the foregoing, the Commission concludes, and hereby declares, that paragraph </w:t>
      </w:r>
      <w:r w:rsidRPr="00017098">
        <w:rPr>
          <w:rFonts w:ascii="Cambria" w:hAnsi="Cambria"/>
          <w:sz w:val="20"/>
        </w:rPr>
        <w:t xml:space="preserve">(i) </w:t>
      </w:r>
      <w:r w:rsidRPr="00B265F3">
        <w:rPr>
          <w:rFonts w:ascii="Cambria" w:hAnsi="Cambria"/>
          <w:sz w:val="20"/>
        </w:rPr>
        <w:t xml:space="preserve">of the </w:t>
      </w:r>
      <w:r w:rsidRPr="00017098">
        <w:rPr>
          <w:rFonts w:ascii="Cambria" w:hAnsi="Cambria"/>
          <w:sz w:val="20"/>
        </w:rPr>
        <w:t xml:space="preserve">act of acknowledgment of responsibility </w:t>
      </w:r>
      <w:r w:rsidRPr="00B265F3">
        <w:rPr>
          <w:rFonts w:ascii="Cambria" w:hAnsi="Cambria"/>
          <w:sz w:val="20"/>
        </w:rPr>
        <w:t xml:space="preserve">of the fifth clause has been fully complied with. At the same time, the Commission considers, and hereby declares, that the sixth clause (justice- related measures) has been partially complied with.  In addition, the Commission considers that compliance with paragraphs </w:t>
      </w:r>
      <w:r w:rsidRPr="00017098">
        <w:rPr>
          <w:rFonts w:ascii="Cambria" w:hAnsi="Cambria"/>
          <w:sz w:val="20"/>
        </w:rPr>
        <w:t>(ii) publication of the Article 49 Report,</w:t>
      </w:r>
      <w:r w:rsidRPr="00B265F3">
        <w:rPr>
          <w:rFonts w:ascii="Cambria" w:hAnsi="Cambria"/>
          <w:sz w:val="20"/>
        </w:rPr>
        <w:t xml:space="preserve"> </w:t>
      </w:r>
      <w:r w:rsidRPr="00017098">
        <w:rPr>
          <w:rFonts w:ascii="Cambria" w:hAnsi="Cambria"/>
          <w:sz w:val="20"/>
        </w:rPr>
        <w:t>(iii) educational grants</w:t>
      </w:r>
      <w:r w:rsidRPr="00B265F3">
        <w:rPr>
          <w:rFonts w:ascii="Cambria" w:hAnsi="Cambria"/>
          <w:sz w:val="20"/>
        </w:rPr>
        <w:t>, and</w:t>
      </w:r>
      <w:r w:rsidRPr="00017098">
        <w:rPr>
          <w:rFonts w:ascii="Cambria" w:hAnsi="Cambria"/>
          <w:sz w:val="20"/>
        </w:rPr>
        <w:t xml:space="preserve"> (iv) Working Groups with the Ministry of Housing, City and Territory,</w:t>
      </w:r>
      <w:r w:rsidRPr="00B265F3">
        <w:rPr>
          <w:rFonts w:ascii="Cambria" w:hAnsi="Cambria"/>
          <w:sz w:val="20"/>
        </w:rPr>
        <w:t xml:space="preserve"> of the fifth clause (satisfaction measures), as well as the seventh clause (compensation measures), is still pending. Accordingly, the Commission considers, and hereby declares, that the friendly settlement agreement has been partially implemented. Finally, the Commission reiterates that the rest of the content of the agreement is of a declarative nature and therefore it is not the IACHR's responsibility to supervise </w:t>
      </w:r>
      <w:r w:rsidR="00D113FD" w:rsidRPr="00B265F3">
        <w:rPr>
          <w:rFonts w:ascii="Cambria" w:hAnsi="Cambria"/>
          <w:sz w:val="20"/>
        </w:rPr>
        <w:t xml:space="preserve">its </w:t>
      </w:r>
      <w:r w:rsidRPr="00B265F3">
        <w:rPr>
          <w:rFonts w:ascii="Cambria" w:hAnsi="Cambria"/>
          <w:sz w:val="20"/>
        </w:rPr>
        <w:t xml:space="preserve">compliance. </w:t>
      </w:r>
    </w:p>
    <w:p w14:paraId="0D991B79" w14:textId="77777777" w:rsidR="002A65AC" w:rsidRPr="00B265F3" w:rsidRDefault="002A65AC" w:rsidP="00D96EC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B265F3"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B265F3">
        <w:rPr>
          <w:b/>
          <w:color w:val="000000" w:themeColor="text1"/>
          <w:sz w:val="20"/>
        </w:rPr>
        <w:t>CONCLUSIONS</w:t>
      </w:r>
    </w:p>
    <w:p w14:paraId="628FF974" w14:textId="77777777" w:rsidR="00DA37B6" w:rsidRPr="00B265F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C3E49" w14:textId="77777777" w:rsidR="00D96EC6" w:rsidRPr="00B265F3" w:rsidRDefault="00D96EC6" w:rsidP="002341A5">
      <w:pPr>
        <w:pStyle w:val="ListParagraph"/>
        <w:numPr>
          <w:ilvl w:val="0"/>
          <w:numId w:val="71"/>
        </w:numPr>
        <w:tabs>
          <w:tab w:val="left" w:pos="720"/>
        </w:tabs>
        <w:ind w:left="0" w:firstLine="709"/>
        <w:jc w:val="both"/>
        <w:rPr>
          <w:rFonts w:eastAsia="MS Mincho"/>
          <w:sz w:val="20"/>
          <w:szCs w:val="20"/>
        </w:rPr>
      </w:pPr>
      <w:r w:rsidRPr="00B265F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139E4007" w14:textId="77777777" w:rsidR="00D96EC6" w:rsidRPr="00B265F3" w:rsidRDefault="00D96EC6" w:rsidP="00D96EC6">
      <w:pPr>
        <w:tabs>
          <w:tab w:val="left" w:pos="720"/>
          <w:tab w:val="left" w:pos="1440"/>
        </w:tabs>
        <w:ind w:firstLine="709"/>
        <w:jc w:val="both"/>
        <w:rPr>
          <w:rFonts w:ascii="Cambria" w:eastAsia="MS Mincho" w:hAnsi="Cambria" w:cs="Cambria"/>
          <w:sz w:val="20"/>
          <w:szCs w:val="20"/>
          <w:lang w:eastAsia="es-ES"/>
        </w:rPr>
      </w:pPr>
    </w:p>
    <w:p w14:paraId="390B074A" w14:textId="77777777" w:rsidR="00D96EC6" w:rsidRPr="00B265F3" w:rsidRDefault="00D96EC6" w:rsidP="00D96EC6">
      <w:pPr>
        <w:tabs>
          <w:tab w:val="left" w:pos="720"/>
        </w:tabs>
        <w:ind w:firstLine="709"/>
        <w:jc w:val="both"/>
        <w:rPr>
          <w:rFonts w:ascii="Cambria" w:eastAsia="MS Mincho" w:hAnsi="Cambria" w:cs="Cambria"/>
          <w:sz w:val="20"/>
          <w:szCs w:val="20"/>
        </w:rPr>
      </w:pPr>
      <w:r w:rsidRPr="00B265F3">
        <w:rPr>
          <w:rFonts w:ascii="Cambria" w:hAnsi="Cambria"/>
          <w:sz w:val="20"/>
        </w:rPr>
        <w:t xml:space="preserve">2. </w:t>
      </w:r>
      <w:r w:rsidRPr="00B265F3">
        <w:tab/>
      </w:r>
      <w:r w:rsidRPr="00B265F3">
        <w:rPr>
          <w:rFonts w:ascii="Cambria" w:hAnsi="Cambria"/>
          <w:sz w:val="20"/>
        </w:rPr>
        <w:t xml:space="preserve">Based on the considerations and conclusions contained in this report, </w:t>
      </w:r>
    </w:p>
    <w:p w14:paraId="4861C3C9" w14:textId="6357F559" w:rsidR="00DA37B6" w:rsidRPr="00B265F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B265F3"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B265F3" w:rsidRDefault="00FA675D" w:rsidP="001633DC">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rPr>
      </w:pPr>
      <w:r w:rsidRPr="00B265F3">
        <w:rPr>
          <w:rFonts w:ascii="Cambria" w:hAnsi="Cambria"/>
          <w:b/>
          <w:color w:val="000000" w:themeColor="text1"/>
          <w:sz w:val="20"/>
        </w:rPr>
        <w:t>THE INTER-AMERICAN COMMISSION ON HUMAN RIGHTS</w:t>
      </w:r>
    </w:p>
    <w:p w14:paraId="710D6B65" w14:textId="77777777" w:rsidR="00FA675D" w:rsidRPr="00B265F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B265F3" w:rsidRDefault="00FA675D" w:rsidP="00FA675D">
      <w:pPr>
        <w:ind w:firstLine="720"/>
        <w:jc w:val="both"/>
        <w:rPr>
          <w:rFonts w:ascii="Cambria" w:eastAsia="Times New Roman" w:hAnsi="Cambria" w:cstheme="minorHAnsi"/>
          <w:b/>
          <w:bCs/>
          <w:color w:val="000000" w:themeColor="text1"/>
          <w:sz w:val="20"/>
          <w:szCs w:val="20"/>
        </w:rPr>
      </w:pPr>
      <w:r w:rsidRPr="00B265F3">
        <w:rPr>
          <w:rFonts w:ascii="Cambria" w:hAnsi="Cambria"/>
          <w:b/>
          <w:color w:val="000000" w:themeColor="text1"/>
          <w:sz w:val="20"/>
          <w:bdr w:val="none" w:sz="0" w:space="0" w:color="auto"/>
        </w:rPr>
        <w:t>DECIDE</w:t>
      </w:r>
      <w:r w:rsidRPr="00B265F3">
        <w:rPr>
          <w:rFonts w:ascii="Cambria" w:hAnsi="Cambria"/>
          <w:b/>
          <w:color w:val="000000" w:themeColor="text1"/>
          <w:sz w:val="20"/>
        </w:rPr>
        <w:t>S</w:t>
      </w:r>
      <w:r w:rsidRPr="00B265F3">
        <w:rPr>
          <w:rFonts w:ascii="Cambria" w:hAnsi="Cambria"/>
          <w:b/>
          <w:color w:val="000000" w:themeColor="text1"/>
          <w:sz w:val="20"/>
          <w:bdr w:val="none" w:sz="0" w:space="0" w:color="auto"/>
        </w:rPr>
        <w:t xml:space="preserve">: </w:t>
      </w:r>
    </w:p>
    <w:p w14:paraId="1FA2BB0B" w14:textId="0D1F8D7F" w:rsidR="00FA675D" w:rsidRPr="00B265F3" w:rsidRDefault="00FA675D" w:rsidP="00145EDC">
      <w:pPr>
        <w:tabs>
          <w:tab w:val="center" w:pos="5400"/>
        </w:tabs>
        <w:suppressAutoHyphens/>
        <w:spacing w:line="276" w:lineRule="auto"/>
        <w:rPr>
          <w:rFonts w:asciiTheme="majorHAnsi" w:hAnsiTheme="majorHAnsi"/>
          <w:sz w:val="20"/>
          <w:szCs w:val="20"/>
        </w:rPr>
      </w:pPr>
    </w:p>
    <w:p w14:paraId="5AD1563A" w14:textId="77777777" w:rsidR="004B734A" w:rsidRPr="00B265F3" w:rsidRDefault="004B734A" w:rsidP="004B734A">
      <w:pPr>
        <w:pStyle w:val="paragraph"/>
        <w:numPr>
          <w:ilvl w:val="0"/>
          <w:numId w:val="70"/>
        </w:numPr>
        <w:spacing w:before="0" w:beforeAutospacing="0" w:after="0" w:afterAutospacing="0"/>
        <w:ind w:left="0" w:firstLine="720"/>
        <w:jc w:val="both"/>
        <w:textAlignment w:val="baseline"/>
        <w:rPr>
          <w:rFonts w:ascii="Cambria" w:hAnsi="Cambria" w:cs="Segoe UI"/>
          <w:color w:val="000000"/>
          <w:sz w:val="20"/>
          <w:szCs w:val="20"/>
        </w:rPr>
      </w:pPr>
      <w:r w:rsidRPr="00B265F3">
        <w:rPr>
          <w:rFonts w:ascii="Cambria" w:hAnsi="Cambria"/>
          <w:color w:val="000000"/>
          <w:sz w:val="20"/>
        </w:rPr>
        <w:t xml:space="preserve">To approve the terms of the friendly settlement agreement that the parties signed on September 29, 2022. </w:t>
      </w:r>
    </w:p>
    <w:p w14:paraId="2BE5D1FA" w14:textId="77777777" w:rsidR="004B734A" w:rsidRPr="00B265F3" w:rsidRDefault="004B734A" w:rsidP="004B734A">
      <w:pPr>
        <w:pStyle w:val="paragraph"/>
        <w:spacing w:before="0" w:beforeAutospacing="0" w:after="0" w:afterAutospacing="0"/>
        <w:ind w:firstLine="720"/>
        <w:jc w:val="both"/>
        <w:textAlignment w:val="baseline"/>
        <w:rPr>
          <w:rFonts w:ascii="Cambria" w:hAnsi="Cambria" w:cs="Segoe UI"/>
          <w:color w:val="000000"/>
          <w:sz w:val="20"/>
          <w:szCs w:val="20"/>
        </w:rPr>
      </w:pPr>
    </w:p>
    <w:p w14:paraId="2AB534AB" w14:textId="77777777" w:rsidR="004B734A" w:rsidRPr="00B265F3" w:rsidRDefault="004B734A" w:rsidP="004B734A">
      <w:pPr>
        <w:pStyle w:val="paragraph"/>
        <w:numPr>
          <w:ilvl w:val="0"/>
          <w:numId w:val="70"/>
        </w:numPr>
        <w:spacing w:before="0" w:beforeAutospacing="0" w:after="0" w:afterAutospacing="0"/>
        <w:ind w:left="0" w:firstLine="720"/>
        <w:jc w:val="both"/>
        <w:textAlignment w:val="baseline"/>
        <w:rPr>
          <w:rFonts w:ascii="Cambria" w:hAnsi="Cambria" w:cs="Segoe UI"/>
          <w:color w:val="000000"/>
          <w:sz w:val="20"/>
          <w:szCs w:val="20"/>
        </w:rPr>
      </w:pPr>
      <w:r w:rsidRPr="00B265F3">
        <w:rPr>
          <w:rFonts w:ascii="Cambria" w:hAnsi="Cambria"/>
          <w:color w:val="000000"/>
          <w:sz w:val="20"/>
        </w:rPr>
        <w:t xml:space="preserve">To declare full compliance with item </w:t>
      </w:r>
      <w:r w:rsidRPr="00B265F3">
        <w:rPr>
          <w:rFonts w:ascii="Cambria" w:hAnsi="Cambria"/>
          <w:i/>
          <w:color w:val="000000"/>
          <w:sz w:val="20"/>
        </w:rPr>
        <w:t>(i) (act of acknowledgment of responsibility)</w:t>
      </w:r>
      <w:r w:rsidRPr="00B265F3">
        <w:rPr>
          <w:rFonts w:ascii="Cambria" w:hAnsi="Cambria"/>
          <w:color w:val="000000"/>
          <w:sz w:val="20"/>
        </w:rPr>
        <w:t xml:space="preserve"> of the fifth clause of the friendly settlement agreement, based </w:t>
      </w:r>
      <w:proofErr w:type="gramStart"/>
      <w:r w:rsidRPr="00B265F3">
        <w:rPr>
          <w:rFonts w:ascii="Cambria" w:hAnsi="Cambria"/>
          <w:color w:val="000000"/>
          <w:sz w:val="20"/>
        </w:rPr>
        <w:t>on  the</w:t>
      </w:r>
      <w:proofErr w:type="gramEnd"/>
      <w:r w:rsidRPr="00B265F3">
        <w:rPr>
          <w:rFonts w:ascii="Cambria" w:hAnsi="Cambria"/>
          <w:color w:val="000000"/>
          <w:sz w:val="20"/>
        </w:rPr>
        <w:t xml:space="preserve"> analysis contained in this report. </w:t>
      </w:r>
    </w:p>
    <w:p w14:paraId="04B25D97" w14:textId="77777777" w:rsidR="004B734A" w:rsidRPr="00B265F3" w:rsidRDefault="004B734A" w:rsidP="004B734A">
      <w:pPr>
        <w:pStyle w:val="ListParagraph"/>
        <w:rPr>
          <w:rFonts w:cs="Segoe UI"/>
          <w:sz w:val="20"/>
          <w:szCs w:val="20"/>
        </w:rPr>
      </w:pPr>
    </w:p>
    <w:p w14:paraId="49BD18AF" w14:textId="77777777" w:rsidR="004B734A" w:rsidRPr="00B265F3" w:rsidRDefault="004B734A" w:rsidP="004B734A">
      <w:pPr>
        <w:pStyle w:val="paragraph"/>
        <w:numPr>
          <w:ilvl w:val="0"/>
          <w:numId w:val="70"/>
        </w:numPr>
        <w:spacing w:before="0" w:beforeAutospacing="0" w:after="0" w:afterAutospacing="0"/>
        <w:ind w:left="0" w:firstLine="720"/>
        <w:jc w:val="both"/>
        <w:textAlignment w:val="baseline"/>
        <w:rPr>
          <w:rFonts w:ascii="Cambria" w:hAnsi="Cambria" w:cs="Segoe UI"/>
          <w:color w:val="000000"/>
          <w:sz w:val="20"/>
          <w:szCs w:val="20"/>
        </w:rPr>
      </w:pPr>
      <w:r w:rsidRPr="00B265F3">
        <w:rPr>
          <w:rFonts w:ascii="Cambria" w:hAnsi="Cambria"/>
          <w:color w:val="000000"/>
          <w:sz w:val="20"/>
        </w:rPr>
        <w:t xml:space="preserve">To declare partial compliance with the sixth clause (justice-related measures) and cease its supervision due to the withdrawal of the parties, according to the analysis contained in this report. </w:t>
      </w:r>
    </w:p>
    <w:p w14:paraId="7668DF91" w14:textId="77777777" w:rsidR="004B734A" w:rsidRPr="00B265F3" w:rsidRDefault="004B734A" w:rsidP="004B734A">
      <w:pPr>
        <w:pStyle w:val="paragraph"/>
        <w:spacing w:before="0" w:beforeAutospacing="0" w:after="0" w:afterAutospacing="0"/>
        <w:ind w:firstLine="720"/>
        <w:jc w:val="both"/>
        <w:textAlignment w:val="baseline"/>
        <w:rPr>
          <w:rFonts w:ascii="Cambria" w:hAnsi="Cambria" w:cs="Segoe UI"/>
          <w:color w:val="000000"/>
          <w:sz w:val="20"/>
          <w:szCs w:val="20"/>
        </w:rPr>
      </w:pPr>
    </w:p>
    <w:p w14:paraId="3055B064" w14:textId="77777777" w:rsidR="004B734A" w:rsidRPr="00B265F3" w:rsidRDefault="004B734A" w:rsidP="004B734A">
      <w:pPr>
        <w:pStyle w:val="paragraph"/>
        <w:numPr>
          <w:ilvl w:val="0"/>
          <w:numId w:val="70"/>
        </w:numPr>
        <w:spacing w:before="0" w:beforeAutospacing="0" w:after="0" w:afterAutospacing="0"/>
        <w:ind w:left="0" w:firstLine="720"/>
        <w:jc w:val="both"/>
        <w:textAlignment w:val="baseline"/>
        <w:rPr>
          <w:rFonts w:ascii="Cambria" w:hAnsi="Cambria" w:cs="Segoe UI"/>
          <w:color w:val="000000"/>
          <w:sz w:val="20"/>
          <w:szCs w:val="20"/>
        </w:rPr>
      </w:pPr>
      <w:r w:rsidRPr="00B265F3">
        <w:rPr>
          <w:rFonts w:ascii="Cambria" w:hAnsi="Cambria"/>
          <w:sz w:val="20"/>
        </w:rPr>
        <w:t xml:space="preserve">To </w:t>
      </w:r>
      <w:r w:rsidRPr="00B265F3">
        <w:rPr>
          <w:rFonts w:ascii="Cambria" w:hAnsi="Cambria"/>
          <w:color w:val="000000"/>
          <w:sz w:val="20"/>
        </w:rPr>
        <w:t>declare that compliance with the following items is still pending</w:t>
      </w:r>
      <w:r w:rsidRPr="00B265F3">
        <w:rPr>
          <w:rFonts w:ascii="Cambria" w:hAnsi="Cambria"/>
          <w:sz w:val="20"/>
        </w:rPr>
        <w:t xml:space="preserve">: </w:t>
      </w:r>
      <w:r w:rsidRPr="00B265F3">
        <w:rPr>
          <w:rFonts w:ascii="Cambria" w:hAnsi="Cambria"/>
          <w:i/>
          <w:color w:val="000000"/>
          <w:sz w:val="20"/>
        </w:rPr>
        <w:t xml:space="preserve">(ii) publication of the Article 49 Report </w:t>
      </w:r>
      <w:proofErr w:type="gramStart"/>
      <w:r w:rsidRPr="00B265F3">
        <w:rPr>
          <w:rFonts w:ascii="Cambria" w:hAnsi="Cambria"/>
          <w:color w:val="000000"/>
          <w:sz w:val="20"/>
        </w:rPr>
        <w:t xml:space="preserve">( </w:t>
      </w:r>
      <w:r w:rsidRPr="00B265F3">
        <w:rPr>
          <w:rFonts w:ascii="Cambria" w:hAnsi="Cambria"/>
          <w:i/>
          <w:color w:val="000000"/>
          <w:sz w:val="20"/>
        </w:rPr>
        <w:t>iii</w:t>
      </w:r>
      <w:proofErr w:type="gramEnd"/>
      <w:r w:rsidRPr="00B265F3">
        <w:rPr>
          <w:rFonts w:ascii="Cambria" w:hAnsi="Cambria"/>
          <w:i/>
          <w:color w:val="000000"/>
          <w:sz w:val="20"/>
        </w:rPr>
        <w:t>) educational grants,</w:t>
      </w:r>
      <w:r w:rsidRPr="00B265F3">
        <w:rPr>
          <w:rFonts w:ascii="Cambria" w:hAnsi="Cambria"/>
          <w:color w:val="000000"/>
          <w:sz w:val="20"/>
        </w:rPr>
        <w:t xml:space="preserve"> and </w:t>
      </w:r>
      <w:r w:rsidRPr="00B265F3">
        <w:rPr>
          <w:rFonts w:ascii="Cambria" w:hAnsi="Cambria"/>
          <w:i/>
          <w:color w:val="000000"/>
          <w:sz w:val="20"/>
        </w:rPr>
        <w:t>(iv) Working Groups with the Ministry of Housing, City and Territory,</w:t>
      </w:r>
      <w:r w:rsidRPr="00B265F3">
        <w:rPr>
          <w:rFonts w:ascii="Cambria" w:hAnsi="Cambria"/>
          <w:color w:val="000000"/>
          <w:sz w:val="20"/>
        </w:rPr>
        <w:t xml:space="preserve"> of the fifth clause (satisfaction measures), as well as the seventh clause (compensation measures) of the friendly settlement agreement, based on the analysis contained in this report.</w:t>
      </w:r>
    </w:p>
    <w:p w14:paraId="625CC9C3" w14:textId="77777777" w:rsidR="004B734A" w:rsidRPr="00B265F3" w:rsidRDefault="004B734A" w:rsidP="004B734A">
      <w:pPr>
        <w:pStyle w:val="paragraph"/>
        <w:spacing w:before="0" w:beforeAutospacing="0" w:after="0" w:afterAutospacing="0"/>
        <w:jc w:val="both"/>
        <w:textAlignment w:val="baseline"/>
        <w:rPr>
          <w:rFonts w:ascii="Cambria" w:hAnsi="Cambria" w:cs="Segoe UI"/>
          <w:color w:val="000000"/>
          <w:sz w:val="20"/>
          <w:szCs w:val="20"/>
        </w:rPr>
      </w:pPr>
    </w:p>
    <w:p w14:paraId="1CB52B16" w14:textId="77777777" w:rsidR="004B734A" w:rsidRPr="00B265F3" w:rsidRDefault="004B734A" w:rsidP="004B734A">
      <w:pPr>
        <w:pStyle w:val="paragraph"/>
        <w:numPr>
          <w:ilvl w:val="0"/>
          <w:numId w:val="70"/>
        </w:numPr>
        <w:spacing w:before="0" w:beforeAutospacing="0" w:after="0" w:afterAutospacing="0"/>
        <w:ind w:left="0" w:firstLine="709"/>
        <w:jc w:val="both"/>
        <w:textAlignment w:val="baseline"/>
        <w:rPr>
          <w:rFonts w:ascii="Cambria" w:hAnsi="Cambria" w:cs="Segoe UI"/>
          <w:color w:val="000000"/>
          <w:sz w:val="20"/>
          <w:szCs w:val="20"/>
        </w:rPr>
      </w:pPr>
      <w:r w:rsidRPr="00B265F3">
        <w:rPr>
          <w:rFonts w:ascii="Cambria" w:hAnsi="Cambria"/>
          <w:color w:val="000000"/>
          <w:sz w:val="20"/>
        </w:rPr>
        <w:t>To declare that the friendly settlement agreement has been partially complied with according to the analysis contained in this report.</w:t>
      </w:r>
    </w:p>
    <w:p w14:paraId="6D42BE63" w14:textId="77777777" w:rsidR="004B734A" w:rsidRPr="00B265F3" w:rsidRDefault="004B734A" w:rsidP="004B734A">
      <w:pPr>
        <w:pStyle w:val="paragraph"/>
        <w:spacing w:before="0" w:beforeAutospacing="0" w:after="0" w:afterAutospacing="0"/>
        <w:ind w:firstLine="720"/>
        <w:jc w:val="both"/>
        <w:textAlignment w:val="baseline"/>
        <w:rPr>
          <w:rFonts w:ascii="Cambria" w:hAnsi="Cambria" w:cs="Segoe UI"/>
          <w:color w:val="000000"/>
          <w:sz w:val="20"/>
          <w:szCs w:val="20"/>
        </w:rPr>
      </w:pPr>
    </w:p>
    <w:p w14:paraId="348EBC2C" w14:textId="77777777" w:rsidR="004B734A" w:rsidRPr="00B265F3" w:rsidRDefault="004B734A" w:rsidP="004B734A">
      <w:pPr>
        <w:pStyle w:val="paragraph"/>
        <w:numPr>
          <w:ilvl w:val="0"/>
          <w:numId w:val="70"/>
        </w:numPr>
        <w:spacing w:before="0" w:beforeAutospacing="0" w:after="0" w:afterAutospacing="0"/>
        <w:ind w:left="0" w:firstLine="720"/>
        <w:jc w:val="both"/>
        <w:textAlignment w:val="baseline"/>
        <w:rPr>
          <w:rFonts w:ascii="Cambria" w:hAnsi="Cambria" w:cs="Segoe UI"/>
          <w:color w:val="000000"/>
          <w:sz w:val="20"/>
          <w:szCs w:val="20"/>
        </w:rPr>
      </w:pPr>
      <w:r w:rsidRPr="00B265F3">
        <w:rPr>
          <w:rFonts w:ascii="Cambria" w:hAnsi="Cambria"/>
          <w:sz w:val="20"/>
        </w:rPr>
        <w:t xml:space="preserve">To </w:t>
      </w:r>
      <w:r w:rsidRPr="00B265F3">
        <w:rPr>
          <w:rFonts w:ascii="Cambria" w:hAnsi="Cambria"/>
          <w:color w:val="000000"/>
          <w:sz w:val="20"/>
        </w:rPr>
        <w:t xml:space="preserve">continue monitoring the commitments assumed in paragraphs (i) and (ii) above </w:t>
      </w:r>
      <w:r w:rsidRPr="00B265F3">
        <w:rPr>
          <w:rFonts w:ascii="Cambria" w:hAnsi="Cambria"/>
          <w:i/>
          <w:color w:val="000000"/>
          <w:sz w:val="20"/>
        </w:rPr>
        <w:t xml:space="preserve">(ii) publication of the Article 49 </w:t>
      </w:r>
      <w:proofErr w:type="gramStart"/>
      <w:r w:rsidRPr="00B265F3">
        <w:rPr>
          <w:rFonts w:ascii="Cambria" w:hAnsi="Cambria"/>
          <w:i/>
          <w:color w:val="000000"/>
          <w:sz w:val="20"/>
        </w:rPr>
        <w:t>Report</w:t>
      </w:r>
      <w:r w:rsidRPr="00B265F3">
        <w:rPr>
          <w:rFonts w:ascii="Cambria" w:hAnsi="Cambria"/>
          <w:color w:val="000000"/>
          <w:sz w:val="20"/>
        </w:rPr>
        <w:t xml:space="preserve">( </w:t>
      </w:r>
      <w:r w:rsidRPr="00B265F3">
        <w:rPr>
          <w:rFonts w:ascii="Cambria" w:hAnsi="Cambria"/>
          <w:i/>
          <w:color w:val="000000"/>
          <w:sz w:val="20"/>
        </w:rPr>
        <w:t>iii</w:t>
      </w:r>
      <w:proofErr w:type="gramEnd"/>
      <w:r w:rsidRPr="00B265F3">
        <w:rPr>
          <w:rFonts w:ascii="Cambria" w:hAnsi="Cambria"/>
          <w:i/>
          <w:color w:val="000000"/>
          <w:sz w:val="20"/>
        </w:rPr>
        <w:t>) educational grants</w:t>
      </w:r>
      <w:r w:rsidRPr="00B265F3">
        <w:rPr>
          <w:rFonts w:ascii="Cambria" w:hAnsi="Cambria"/>
          <w:color w:val="000000"/>
          <w:sz w:val="20"/>
        </w:rPr>
        <w:t xml:space="preserve">, and </w:t>
      </w:r>
      <w:r w:rsidRPr="00B265F3">
        <w:rPr>
          <w:rFonts w:ascii="Cambria" w:hAnsi="Cambria"/>
          <w:i/>
          <w:color w:val="000000"/>
          <w:sz w:val="20"/>
        </w:rPr>
        <w:t>(iv) Working Groups with the Ministry of Housing, City and Territory</w:t>
      </w:r>
      <w:r w:rsidRPr="00B265F3">
        <w:rPr>
          <w:rFonts w:ascii="Cambria" w:hAnsi="Cambria"/>
          <w:color w:val="000000"/>
          <w:sz w:val="20"/>
        </w:rPr>
        <w:t xml:space="preserve">, of the fifth clause (satisfaction measures) and the seventh clause (compensation measures) of the friendly settlement agreement, according to the analysis contained in this report. To that end, to remind the parties of their commitment to keep the IACHR regularly informed regarding compliance with those aspects of the agreement. </w:t>
      </w:r>
    </w:p>
    <w:p w14:paraId="62D5C683" w14:textId="77777777" w:rsidR="004B734A" w:rsidRPr="00B265F3" w:rsidRDefault="004B734A" w:rsidP="004B734A">
      <w:pPr>
        <w:pStyle w:val="paragraph"/>
        <w:spacing w:before="0" w:beforeAutospacing="0" w:after="0" w:afterAutospacing="0"/>
        <w:ind w:firstLine="720"/>
        <w:jc w:val="both"/>
        <w:textAlignment w:val="baseline"/>
        <w:rPr>
          <w:rFonts w:ascii="Cambria" w:hAnsi="Cambria" w:cs="Segoe UI"/>
          <w:color w:val="000000"/>
          <w:sz w:val="20"/>
          <w:szCs w:val="20"/>
        </w:rPr>
      </w:pPr>
    </w:p>
    <w:p w14:paraId="3E2D8A53" w14:textId="77777777" w:rsidR="004B734A" w:rsidRPr="006F4B48" w:rsidRDefault="004B734A" w:rsidP="004B734A">
      <w:pPr>
        <w:pStyle w:val="paragraph"/>
        <w:numPr>
          <w:ilvl w:val="0"/>
          <w:numId w:val="70"/>
        </w:numPr>
        <w:spacing w:before="0" w:beforeAutospacing="0" w:after="0" w:afterAutospacing="0"/>
        <w:ind w:left="0" w:firstLine="720"/>
        <w:jc w:val="both"/>
        <w:textAlignment w:val="baseline"/>
        <w:rPr>
          <w:rFonts w:ascii="Cambria" w:hAnsi="Cambria" w:cs="Segoe UI"/>
          <w:color w:val="000000"/>
          <w:sz w:val="20"/>
          <w:szCs w:val="20"/>
        </w:rPr>
      </w:pPr>
      <w:r w:rsidRPr="00B265F3">
        <w:rPr>
          <w:rFonts w:ascii="Cambria" w:hAnsi="Cambria"/>
          <w:color w:val="000000"/>
          <w:sz w:val="20"/>
        </w:rPr>
        <w:t>To publish the present report and include it in its Annual Report to the General Assembly of the OAS.</w:t>
      </w:r>
    </w:p>
    <w:p w14:paraId="1792BFA8" w14:textId="77777777" w:rsidR="006F4B48" w:rsidRDefault="006F4B48" w:rsidP="006F4B48">
      <w:pPr>
        <w:pStyle w:val="ListParagraph"/>
        <w:rPr>
          <w:rFonts w:cs="Segoe UI"/>
          <w:sz w:val="20"/>
          <w:szCs w:val="20"/>
        </w:rPr>
      </w:pPr>
    </w:p>
    <w:p w14:paraId="10BA8EAC" w14:textId="7ACDD3DD" w:rsidR="006F4B48" w:rsidRDefault="006F4B48" w:rsidP="006F4B4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6F4B4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July,</w:t>
      </w:r>
      <w:proofErr w:type="gramEnd"/>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0E83EA20" w14:textId="77777777" w:rsidR="00D96EC6" w:rsidRPr="00B265F3" w:rsidRDefault="00D96EC6" w:rsidP="00145EDC">
      <w:pPr>
        <w:tabs>
          <w:tab w:val="center" w:pos="5400"/>
        </w:tabs>
        <w:suppressAutoHyphens/>
        <w:spacing w:line="276" w:lineRule="auto"/>
        <w:rPr>
          <w:rFonts w:asciiTheme="majorHAnsi" w:hAnsiTheme="majorHAnsi"/>
          <w:sz w:val="20"/>
          <w:szCs w:val="20"/>
        </w:rPr>
      </w:pPr>
    </w:p>
    <w:sectPr w:rsidR="00D96EC6" w:rsidRPr="00B265F3"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8E33" w14:textId="77777777" w:rsidR="000F2B88" w:rsidRDefault="000F2B88" w:rsidP="00036A8A">
      <w:r>
        <w:separator/>
      </w:r>
    </w:p>
  </w:endnote>
  <w:endnote w:type="continuationSeparator" w:id="0">
    <w:p w14:paraId="1EBEA96D" w14:textId="77777777" w:rsidR="000F2B88" w:rsidRDefault="000F2B8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4DE2" w14:textId="77777777" w:rsidR="000F2B88" w:rsidRPr="00036A8A" w:rsidRDefault="000F2B8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F9A161E" w14:textId="77777777" w:rsidR="000F2B88" w:rsidRPr="00036A8A" w:rsidRDefault="000F2B88" w:rsidP="00036A8A">
      <w:pPr>
        <w:rPr>
          <w:rFonts w:asciiTheme="majorHAnsi" w:hAnsiTheme="majorHAnsi"/>
          <w:sz w:val="16"/>
          <w:szCs w:val="16"/>
        </w:rPr>
      </w:pPr>
      <w:r w:rsidRPr="00036A8A">
        <w:rPr>
          <w:rFonts w:asciiTheme="majorHAnsi" w:hAnsiTheme="majorHAnsi"/>
          <w:sz w:val="16"/>
          <w:szCs w:val="16"/>
        </w:rPr>
        <w:separator/>
      </w:r>
    </w:p>
    <w:p w14:paraId="754F3072" w14:textId="77777777" w:rsidR="000F2B88" w:rsidRPr="00036A8A" w:rsidRDefault="000F2B8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D9ED237" w14:textId="77777777" w:rsidR="000F2B88" w:rsidRPr="0093441A" w:rsidRDefault="000F2B8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F82F395" w14:textId="72B85CC5" w:rsidR="00D96EC6" w:rsidRPr="00F30600" w:rsidRDefault="00D96EC6" w:rsidP="00D96EC6">
      <w:pPr>
        <w:pStyle w:val="FootnoteText"/>
        <w:ind w:firstLine="720"/>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Commissioner Carlos Bernal Pulido, a Colombian national, did not participate in the discussion or decision on this case</w:t>
      </w:r>
      <w:r w:rsidR="001B00F0" w:rsidRPr="00F30600">
        <w:rPr>
          <w:rFonts w:ascii="Cambria" w:hAnsi="Cambria"/>
          <w:sz w:val="16"/>
        </w:rPr>
        <w:t>, in accordance with Article 17 (2)(a) of the Rules of Procedure of the IACHR</w:t>
      </w:r>
      <w:r w:rsidRPr="00F30600">
        <w:rPr>
          <w:rFonts w:ascii="Cambria" w:hAnsi="Cambria"/>
          <w:sz w:val="16"/>
        </w:rPr>
        <w:t>.</w:t>
      </w:r>
    </w:p>
  </w:footnote>
  <w:footnote w:id="3">
    <w:p w14:paraId="365A3958"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lang w:val="es-419"/>
        </w:rPr>
        <w:footnoteRef/>
      </w:r>
      <w:r w:rsidRPr="00F30600">
        <w:rPr>
          <w:rFonts w:ascii="Cambria" w:hAnsi="Cambria"/>
          <w:sz w:val="16"/>
        </w:rPr>
        <w:t>I/A Court H.R. Case of the Serrano-Cruz Sisters v. El Salvador, (Merits, Reparations, and Costs). Judgment of March 1, 2005, Series C No. 120, par. 150.</w:t>
      </w:r>
    </w:p>
  </w:footnote>
  <w:footnote w:id="4">
    <w:p w14:paraId="3E56C866"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lang w:val="es-419"/>
        </w:rPr>
        <w:footnoteRef/>
      </w:r>
      <w:r w:rsidRPr="00F30600">
        <w:rPr>
          <w:rFonts w:ascii="Cambria" w:hAnsi="Cambria"/>
          <w:sz w:val="16"/>
        </w:rPr>
        <w:t xml:space="preserve"> </w:t>
      </w:r>
      <w:r w:rsidRPr="00F30600">
        <w:rPr>
          <w:rStyle w:val="normaltextrun"/>
          <w:rFonts w:ascii="Cambria" w:hAnsi="Cambria"/>
          <w:sz w:val="16"/>
          <w:shd w:val="clear" w:color="auto" w:fill="FFFFFF"/>
        </w:rPr>
        <w:t>I/A Court H.R. Case of Caesar v. Trinidad and Tobago, (Merits, Reparations, and Costs). Judgment of March 11, 2005. Series C No. 123, par. 125. </w:t>
      </w:r>
      <w:r w:rsidRPr="00F30600">
        <w:rPr>
          <w:rStyle w:val="eop"/>
          <w:rFonts w:ascii="Cambria" w:hAnsi="Cambria"/>
          <w:sz w:val="16"/>
          <w:shd w:val="clear" w:color="auto" w:fill="FFFFFF"/>
        </w:rPr>
        <w:t> </w:t>
      </w:r>
    </w:p>
  </w:footnote>
  <w:footnote w:id="5">
    <w:p w14:paraId="2252CC52"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lang w:val="es-419"/>
        </w:rPr>
        <w:footnoteRef/>
      </w:r>
      <w:r w:rsidRPr="00F30600">
        <w:rPr>
          <w:rFonts w:ascii="Cambria" w:hAnsi="Cambria"/>
          <w:sz w:val="16"/>
        </w:rPr>
        <w:t xml:space="preserve"> Admissibility Report No. 165/18 of December 9, 2018, p. 1, numbered section II. </w:t>
      </w:r>
    </w:p>
  </w:footnote>
  <w:footnote w:id="6">
    <w:p w14:paraId="5D752268" w14:textId="77777777" w:rsidR="00D96EC6" w:rsidRPr="00F30600" w:rsidRDefault="00D96EC6" w:rsidP="00D96EC6">
      <w:pPr>
        <w:pStyle w:val="FootnoteText"/>
        <w:ind w:firstLine="720"/>
        <w:jc w:val="both"/>
        <w:rPr>
          <w:rFonts w:ascii="Cambria" w:hAnsi="Cambria"/>
          <w:sz w:val="16"/>
          <w:szCs w:val="16"/>
          <w:lang w:val="es-CO"/>
        </w:rPr>
      </w:pPr>
      <w:r w:rsidRPr="00F30600">
        <w:rPr>
          <w:rStyle w:val="FootnoteReference"/>
          <w:rFonts w:ascii="Cambria" w:hAnsi="Cambria"/>
          <w:sz w:val="16"/>
          <w:szCs w:val="16"/>
          <w:lang w:val="es-419"/>
        </w:rPr>
        <w:footnoteRef/>
      </w:r>
      <w:r w:rsidRPr="00F30600">
        <w:rPr>
          <w:rFonts w:ascii="Cambria" w:hAnsi="Cambria"/>
          <w:sz w:val="16"/>
          <w:lang w:val="es-CO"/>
        </w:rPr>
        <w:t xml:space="preserve"> Identified in Admissibility Report No. 165/18 as Mariela Ortiz de Toro, Gerardo Toro Ortiz, Nelson Fernando Toro Ortiz, and Ana Judith Toro Jiménez. </w:t>
      </w:r>
    </w:p>
  </w:footnote>
  <w:footnote w:id="7">
    <w:p w14:paraId="71B5C798"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lang w:val="es-419"/>
        </w:rPr>
        <w:footnoteRef/>
      </w:r>
      <w:r w:rsidRPr="00F30600">
        <w:rPr>
          <w:rFonts w:ascii="Cambria" w:hAnsi="Cambria"/>
          <w:sz w:val="16"/>
        </w:rPr>
        <w:t xml:space="preserve"> Initial Petition received on July 11, 2008, pp. 4 and 5. According to the Admissibility Report, the murder of Mr. Luis Gerardo Toro was perpetrated by two members of the United Self-Defense Forces of Colombia (AUC). Admissibility Report, </w:t>
      </w:r>
      <w:r w:rsidRPr="00F30600">
        <w:rPr>
          <w:rFonts w:ascii="Cambria" w:hAnsi="Cambria"/>
          <w:i/>
          <w:iCs/>
          <w:sz w:val="16"/>
        </w:rPr>
        <w:t>op.</w:t>
      </w:r>
      <w:r w:rsidRPr="00F30600">
        <w:rPr>
          <w:rFonts w:ascii="Cambria" w:hAnsi="Cambria"/>
          <w:i/>
          <w:sz w:val="16"/>
        </w:rPr>
        <w:t>cit., p.</w:t>
      </w:r>
      <w:r w:rsidRPr="00F30600">
        <w:rPr>
          <w:rFonts w:ascii="Cambria" w:hAnsi="Cambria"/>
          <w:sz w:val="16"/>
        </w:rPr>
        <w:t xml:space="preserve"> 2, par. 2.</w:t>
      </w:r>
    </w:p>
  </w:footnote>
  <w:footnote w:id="8">
    <w:p w14:paraId="65B70DEC"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lang w:val="es-419"/>
        </w:rPr>
        <w:footnoteRef/>
      </w:r>
      <w:r w:rsidRPr="00F30600">
        <w:rPr>
          <w:rFonts w:ascii="Cambria" w:hAnsi="Cambria"/>
          <w:sz w:val="16"/>
        </w:rPr>
        <w:t xml:space="preserve"> According to the Admissibility Report, the murder of Robinson de Jesús Agudelo Toro occurred on October 11, 2002. Admissibility Report, </w:t>
      </w:r>
      <w:r w:rsidRPr="00F30600">
        <w:rPr>
          <w:rFonts w:ascii="Cambria" w:hAnsi="Cambria"/>
          <w:i/>
          <w:iCs/>
          <w:sz w:val="16"/>
        </w:rPr>
        <w:t>op.</w:t>
      </w:r>
      <w:r w:rsidRPr="00F30600">
        <w:rPr>
          <w:rFonts w:ascii="Cambria" w:hAnsi="Cambria"/>
          <w:i/>
          <w:sz w:val="16"/>
        </w:rPr>
        <w:t>cit., p.</w:t>
      </w:r>
      <w:r w:rsidRPr="00F30600">
        <w:rPr>
          <w:rFonts w:ascii="Cambria" w:hAnsi="Cambria"/>
          <w:sz w:val="16"/>
        </w:rPr>
        <w:t xml:space="preserve"> 2, par. 2.</w:t>
      </w:r>
    </w:p>
  </w:footnote>
  <w:footnote w:id="9">
    <w:p w14:paraId="3A9E12BE"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Initial Petition, </w:t>
      </w:r>
      <w:r w:rsidRPr="00F30600">
        <w:rPr>
          <w:rFonts w:ascii="Cambria" w:hAnsi="Cambria"/>
          <w:i/>
          <w:iCs/>
          <w:sz w:val="16"/>
        </w:rPr>
        <w:t>op.</w:t>
      </w:r>
      <w:r w:rsidRPr="00F30600">
        <w:rPr>
          <w:rFonts w:ascii="Cambria" w:hAnsi="Cambria"/>
          <w:i/>
          <w:sz w:val="16"/>
        </w:rPr>
        <w:t>cit., pp.</w:t>
      </w:r>
      <w:r w:rsidRPr="00F30600">
        <w:rPr>
          <w:rFonts w:ascii="Cambria" w:hAnsi="Cambria"/>
          <w:sz w:val="16"/>
        </w:rPr>
        <w:t xml:space="preserve"> 4 and 5. According to the Admissibility Report, Mr. Robinson de Jesús Agudelo Toro "was murdered in connection with a massacre attributed to the AUC in the Corregimiento de Albán, Municipality of El Cairo." Admissibility Report, </w:t>
      </w:r>
      <w:r w:rsidRPr="00F30600">
        <w:rPr>
          <w:rFonts w:ascii="Cambria" w:hAnsi="Cambria"/>
          <w:i/>
          <w:iCs/>
          <w:sz w:val="16"/>
        </w:rPr>
        <w:t>op.</w:t>
      </w:r>
      <w:r w:rsidRPr="00F30600">
        <w:rPr>
          <w:rFonts w:ascii="Cambria" w:hAnsi="Cambria"/>
          <w:i/>
          <w:sz w:val="16"/>
        </w:rPr>
        <w:t>cit., p.</w:t>
      </w:r>
      <w:r w:rsidRPr="00F30600">
        <w:rPr>
          <w:rFonts w:ascii="Cambria" w:hAnsi="Cambria"/>
          <w:sz w:val="16"/>
        </w:rPr>
        <w:t xml:space="preserve"> 2, par. 2.</w:t>
      </w:r>
    </w:p>
  </w:footnote>
  <w:footnote w:id="10">
    <w:p w14:paraId="5D41CE1A"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According to the Admissibility Report, Mr. José Davison Toro Ortiz was murdered on November 10, 2002. Admissibility Report, </w:t>
      </w:r>
      <w:r w:rsidRPr="00F30600">
        <w:rPr>
          <w:rFonts w:ascii="Cambria" w:hAnsi="Cambria"/>
          <w:i/>
          <w:iCs/>
          <w:sz w:val="16"/>
        </w:rPr>
        <w:t>op.</w:t>
      </w:r>
      <w:r w:rsidRPr="00F30600">
        <w:rPr>
          <w:rFonts w:ascii="Cambria" w:hAnsi="Cambria"/>
          <w:i/>
          <w:sz w:val="16"/>
        </w:rPr>
        <w:t>cit., p.</w:t>
      </w:r>
      <w:r w:rsidRPr="00F30600">
        <w:rPr>
          <w:rFonts w:ascii="Cambria" w:hAnsi="Cambria"/>
          <w:sz w:val="16"/>
        </w:rPr>
        <w:t xml:space="preserve"> 2, par. 2.</w:t>
      </w:r>
    </w:p>
  </w:footnote>
  <w:footnote w:id="11">
    <w:p w14:paraId="408C956F"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w:t>
      </w:r>
      <w:r w:rsidRPr="00F30600">
        <w:rPr>
          <w:rStyle w:val="normaltextrun"/>
          <w:rFonts w:ascii="Cambria" w:hAnsi="Cambria"/>
          <w:sz w:val="16"/>
          <w:shd w:val="clear" w:color="auto" w:fill="FFFFFF"/>
        </w:rPr>
        <w:t>Initial Petition, </w:t>
      </w:r>
      <w:r w:rsidRPr="00F30600">
        <w:rPr>
          <w:rStyle w:val="normaltextrun"/>
          <w:rFonts w:ascii="Cambria" w:hAnsi="Cambria"/>
          <w:i/>
          <w:iCs/>
          <w:sz w:val="16"/>
          <w:shd w:val="clear" w:color="auto" w:fill="FFFFFF"/>
        </w:rPr>
        <w:t>op.</w:t>
      </w:r>
      <w:r w:rsidRPr="00F30600">
        <w:rPr>
          <w:rStyle w:val="normaltextrun"/>
          <w:rFonts w:ascii="Cambria" w:hAnsi="Cambria"/>
          <w:i/>
          <w:sz w:val="16"/>
          <w:shd w:val="clear" w:color="auto" w:fill="FFFFFF"/>
        </w:rPr>
        <w:t>cit., pp.</w:t>
      </w:r>
      <w:r w:rsidRPr="00F30600">
        <w:rPr>
          <w:rStyle w:val="normaltextrun"/>
          <w:rFonts w:ascii="Cambria" w:hAnsi="Cambria"/>
          <w:sz w:val="16"/>
          <w:shd w:val="clear" w:color="auto" w:fill="FFFFFF"/>
        </w:rPr>
        <w:t xml:space="preserve"> 4 and 5. According to the Admissibility Report, the murder of Mr. José Davison Toro Ortiz was perpetrated by the United Self-Defense Forces of Colombia (AUC). Admissibility Report, </w:t>
      </w:r>
      <w:r w:rsidRPr="00F30600">
        <w:rPr>
          <w:rStyle w:val="normaltextrun"/>
          <w:rFonts w:ascii="Cambria" w:hAnsi="Cambria"/>
          <w:i/>
          <w:iCs/>
          <w:sz w:val="16"/>
          <w:shd w:val="clear" w:color="auto" w:fill="FFFFFF"/>
        </w:rPr>
        <w:t>op.cit.</w:t>
      </w:r>
      <w:r w:rsidRPr="00F30600">
        <w:rPr>
          <w:rStyle w:val="normaltextrun"/>
          <w:rFonts w:ascii="Cambria" w:hAnsi="Cambria"/>
          <w:sz w:val="16"/>
          <w:shd w:val="clear" w:color="auto" w:fill="FFFFFF"/>
        </w:rPr>
        <w:t>, p. 2, par. 2. </w:t>
      </w:r>
    </w:p>
  </w:footnote>
  <w:footnote w:id="12">
    <w:p w14:paraId="6C4DA2EE"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w:t>
      </w:r>
      <w:r w:rsidRPr="00F30600">
        <w:rPr>
          <w:rFonts w:ascii="Cambria" w:hAnsi="Cambria"/>
          <w:i/>
          <w:sz w:val="16"/>
        </w:rPr>
        <w:t>Ibid</w:t>
      </w:r>
      <w:r w:rsidRPr="00F30600">
        <w:rPr>
          <w:rFonts w:ascii="Cambria" w:hAnsi="Cambria"/>
          <w:sz w:val="16"/>
        </w:rPr>
        <w:t>. </w:t>
      </w:r>
    </w:p>
  </w:footnote>
  <w:footnote w:id="13">
    <w:p w14:paraId="79707BF8"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Initial Petition,</w:t>
      </w:r>
      <w:r w:rsidRPr="00F30600">
        <w:rPr>
          <w:rFonts w:ascii="Cambria" w:hAnsi="Cambria"/>
          <w:i/>
          <w:iCs/>
          <w:sz w:val="16"/>
        </w:rPr>
        <w:t> op.</w:t>
      </w:r>
      <w:r w:rsidRPr="00F30600">
        <w:rPr>
          <w:rFonts w:ascii="Cambria" w:hAnsi="Cambria"/>
          <w:i/>
          <w:sz w:val="16"/>
        </w:rPr>
        <w:t>cit.</w:t>
      </w:r>
      <w:r w:rsidRPr="00F30600">
        <w:rPr>
          <w:rFonts w:ascii="Cambria" w:hAnsi="Cambria"/>
          <w:sz w:val="16"/>
        </w:rPr>
        <w:t>, pp. 4 and 5.</w:t>
      </w:r>
    </w:p>
  </w:footnote>
  <w:footnote w:id="14">
    <w:p w14:paraId="6B50CE81"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t xml:space="preserve"> </w:t>
      </w:r>
      <w:r w:rsidRPr="00F30600">
        <w:rPr>
          <w:rFonts w:ascii="Cambria" w:hAnsi="Cambria"/>
          <w:sz w:val="16"/>
        </w:rPr>
        <w:t>Office of the Attorney General. Official Letter No. 20161700056231, dated August 17, 2016.</w:t>
      </w:r>
    </w:p>
  </w:footnote>
  <w:footnote w:id="15">
    <w:p w14:paraId="160F1CFB"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t xml:space="preserve"> </w:t>
      </w:r>
      <w:r w:rsidRPr="00F30600">
        <w:rPr>
          <w:rFonts w:ascii="Cambria" w:hAnsi="Cambria"/>
          <w:sz w:val="16"/>
        </w:rPr>
        <w:t>Office of the Attorney General. Official Letter No. 20191700063121, dated June 26, 2019. </w:t>
      </w:r>
    </w:p>
  </w:footnote>
  <w:footnote w:id="16">
    <w:p w14:paraId="5CD7953C"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t xml:space="preserve"> </w:t>
      </w:r>
      <w:r w:rsidRPr="00F30600">
        <w:rPr>
          <w:rFonts w:ascii="Cambria" w:hAnsi="Cambria"/>
          <w:sz w:val="16"/>
        </w:rPr>
        <w:t>Office of the Attorney General. Official Letters with file numbers Nos. 20211700036721 dated May 28, 2021, 20211700038351 dated June 3, 2021, and 20211700056521 dated August 19, 2021. </w:t>
      </w:r>
    </w:p>
  </w:footnote>
  <w:footnote w:id="17">
    <w:p w14:paraId="558506A6" w14:textId="77777777" w:rsidR="00D96EC6" w:rsidRPr="00F30600" w:rsidRDefault="00D96EC6" w:rsidP="00D96EC6">
      <w:pPr>
        <w:pStyle w:val="FootnoteText"/>
        <w:ind w:firstLine="720"/>
        <w:jc w:val="both"/>
      </w:pPr>
      <w:r w:rsidRPr="00F30600">
        <w:rPr>
          <w:rStyle w:val="FootnoteReference"/>
          <w:rFonts w:ascii="Cambria" w:hAnsi="Cambria"/>
          <w:sz w:val="16"/>
          <w:szCs w:val="16"/>
        </w:rPr>
        <w:footnoteRef/>
      </w:r>
      <w:r w:rsidRPr="00F30600">
        <w:t xml:space="preserve"> </w:t>
      </w:r>
      <w:r w:rsidRPr="00F30600">
        <w:rPr>
          <w:rFonts w:ascii="Cambria" w:hAnsi="Cambria"/>
          <w:sz w:val="16"/>
        </w:rPr>
        <w:t>Office of the Attorney General. Document No. 20218001232772 dated July 9, 2021.</w:t>
      </w:r>
    </w:p>
  </w:footnote>
  <w:footnote w:id="18">
    <w:p w14:paraId="6B5CDEB3" w14:textId="77777777" w:rsidR="00D96EC6" w:rsidRPr="00F30600" w:rsidRDefault="00D96EC6" w:rsidP="00D96EC6">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rPr>
        <w:t xml:space="preserve"> </w:t>
      </w:r>
      <w:r w:rsidRPr="00F30600">
        <w:rPr>
          <w:rStyle w:val="normaltextrun"/>
          <w:rFonts w:ascii="Cambria" w:hAnsi="Cambria"/>
          <w:sz w:val="16"/>
          <w:bdr w:val="none" w:sz="0" w:space="0" w:color="auto" w:frame="1"/>
        </w:rPr>
        <w:t>The foregoing, in accordance with the jurisprudence of the Inter-American Court of Human Rights. See, I/A Court H.R. Case of the Afro-descendant communities displaced from the Cacarica River Basin (Operation Genesis) v. Colombia. (Preliminary Objections, Merits, Reparations, and Costs). Judgment of November 20, 2013. Series C No. 270, par. 425.</w:t>
      </w:r>
    </w:p>
  </w:footnote>
  <w:footnote w:id="19">
    <w:p w14:paraId="64D87568" w14:textId="77777777" w:rsidR="00D96EC6" w:rsidRPr="00F30600" w:rsidRDefault="00D96EC6" w:rsidP="00D96EC6">
      <w:pPr>
        <w:pStyle w:val="FootnoteText"/>
        <w:ind w:firstLine="720"/>
        <w:jc w:val="both"/>
      </w:pPr>
      <w:r w:rsidRPr="00F30600">
        <w:rPr>
          <w:rStyle w:val="FootnoteReference"/>
          <w:rFonts w:ascii="Cambria" w:hAnsi="Cambria"/>
          <w:sz w:val="16"/>
          <w:szCs w:val="16"/>
        </w:rPr>
        <w:footnoteRef/>
      </w:r>
      <w:r w:rsidRPr="00F30600">
        <w:rPr>
          <w:rFonts w:ascii="Cambria" w:hAnsi="Cambria"/>
          <w:sz w:val="16"/>
        </w:rPr>
        <w:t xml:space="preserve"> </w:t>
      </w:r>
      <w:r w:rsidRPr="00F30600">
        <w:rPr>
          <w:rStyle w:val="normaltextrun"/>
          <w:rFonts w:ascii="Cambria" w:hAnsi="Cambria"/>
          <w:sz w:val="16"/>
          <w:shd w:val="clear" w:color="auto" w:fill="FFFFFF"/>
        </w:rPr>
        <w:t>They shall be chosen directly by the relatives of Mr. Luis Gerardo Toro Jiménez, Mr. José Davidson Toro Ortiz, Mr. Robinson de Jesús Agudelo Toro, and Mr. Luis Gonzaga Toro Arcila.</w:t>
      </w:r>
      <w:r w:rsidRPr="00F30600">
        <w:rPr>
          <w:rStyle w:val="normaltextrun"/>
          <w:rFonts w:ascii="Work Sans" w:hAnsi="Work Sans"/>
          <w:sz w:val="18"/>
          <w:shd w:val="clear" w:color="auto" w:fill="FFFFFF"/>
        </w:rPr>
        <w:t> </w:t>
      </w:r>
    </w:p>
  </w:footnote>
  <w:footnote w:id="20">
    <w:p w14:paraId="5F1D04B3" w14:textId="77777777" w:rsidR="00D96EC6" w:rsidRPr="00F30600" w:rsidRDefault="00D96EC6" w:rsidP="00D96EC6">
      <w:pPr>
        <w:pStyle w:val="FootnoteText"/>
        <w:ind w:firstLine="720"/>
        <w:jc w:val="both"/>
        <w:rPr>
          <w:rFonts w:ascii="Cambria" w:hAnsi="Cambria"/>
        </w:rPr>
      </w:pPr>
      <w:r w:rsidRPr="00F30600">
        <w:rPr>
          <w:rStyle w:val="FootnoteReference"/>
          <w:rFonts w:ascii="Cambria" w:hAnsi="Cambria"/>
          <w:sz w:val="16"/>
          <w:szCs w:val="16"/>
        </w:rPr>
        <w:footnoteRef/>
      </w:r>
      <w:r w:rsidRPr="00F30600">
        <w:rPr>
          <w:rFonts w:ascii="Cambria" w:hAnsi="Cambria"/>
          <w:sz w:val="16"/>
        </w:rPr>
        <w:t xml:space="preserve"> Otherwise, the measure must be executed in Colombia. </w:t>
      </w:r>
    </w:p>
  </w:footnote>
  <w:footnote w:id="21">
    <w:p w14:paraId="774A32C5" w14:textId="77777777" w:rsidR="00D96EC6" w:rsidRPr="00F30600" w:rsidRDefault="00D96EC6" w:rsidP="00D113FD">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szCs w:val="16"/>
        </w:rPr>
        <w:t>Ministry of Education. Document No. 2022-EE-138742 of June 23, 2022.</w:t>
      </w:r>
    </w:p>
  </w:footnote>
  <w:footnote w:id="22">
    <w:p w14:paraId="748AB769" w14:textId="77777777" w:rsidR="00D96EC6" w:rsidRPr="00F30600" w:rsidRDefault="00D96EC6" w:rsidP="00D113FD">
      <w:pPr>
        <w:pStyle w:val="FootnoteText"/>
        <w:ind w:firstLine="720"/>
        <w:jc w:val="both"/>
        <w:rPr>
          <w:rFonts w:ascii="Cambria" w:hAnsi="Cambria"/>
          <w:sz w:val="16"/>
          <w:szCs w:val="16"/>
        </w:rPr>
      </w:pPr>
      <w:r w:rsidRPr="00F30600">
        <w:rPr>
          <w:rStyle w:val="FootnoteReference"/>
          <w:rFonts w:ascii="Cambria" w:hAnsi="Cambria"/>
          <w:sz w:val="16"/>
          <w:szCs w:val="16"/>
        </w:rPr>
        <w:footnoteRef/>
      </w:r>
      <w:r w:rsidRPr="00F30600">
        <w:rPr>
          <w:rFonts w:ascii="Cambria" w:hAnsi="Cambria"/>
          <w:sz w:val="16"/>
          <w:szCs w:val="16"/>
        </w:rPr>
        <w:t xml:space="preserve"> </w:t>
      </w:r>
      <w:r w:rsidRPr="00F30600">
        <w:rPr>
          <w:rStyle w:val="normaltextrun"/>
          <w:rFonts w:ascii="Cambria" w:hAnsi="Cambria"/>
          <w:sz w:val="16"/>
          <w:szCs w:val="16"/>
          <w:bdr w:val="none" w:sz="0" w:space="0" w:color="auto" w:frame="1"/>
        </w:rPr>
        <w:t>Ministry of Housing, City, and Territory. Document No. 2022EE0032287 of April 4, 2022.</w:t>
      </w:r>
    </w:p>
  </w:footnote>
  <w:footnote w:id="23">
    <w:p w14:paraId="08AB1D20" w14:textId="77777777" w:rsidR="00D96EC6" w:rsidRPr="00F30600" w:rsidRDefault="00D96EC6" w:rsidP="00D113FD">
      <w:pPr>
        <w:pStyle w:val="FootnoteText"/>
        <w:ind w:firstLine="720"/>
        <w:jc w:val="both"/>
      </w:pPr>
      <w:r w:rsidRPr="00F30600">
        <w:rPr>
          <w:rStyle w:val="FootnoteReference"/>
          <w:rFonts w:ascii="Cambria" w:hAnsi="Cambria"/>
          <w:sz w:val="16"/>
          <w:szCs w:val="16"/>
        </w:rPr>
        <w:footnoteRef/>
      </w:r>
      <w:r w:rsidRPr="00F30600">
        <w:rPr>
          <w:rFonts w:ascii="Cambria" w:hAnsi="Cambria"/>
          <w:sz w:val="16"/>
          <w:szCs w:val="16"/>
        </w:rPr>
        <w:t xml:space="preserve"> </w:t>
      </w:r>
      <w:r w:rsidRPr="00F30600">
        <w:rPr>
          <w:rStyle w:val="normaltextrun"/>
          <w:rFonts w:ascii="Cambria" w:hAnsi="Cambria"/>
          <w:sz w:val="16"/>
          <w:szCs w:val="16"/>
          <w:shd w:val="clear" w:color="auto" w:fill="FFFFFF"/>
        </w:rPr>
        <w:t>Office of the Attorney General. Document No. 20221700051221 of July 12, 2022.</w:t>
      </w:r>
      <w:r w:rsidRPr="00F30600">
        <w:rPr>
          <w:rStyle w:val="normaltextrun"/>
          <w:rFonts w:ascii="Work Sans" w:hAnsi="Work Sans"/>
          <w:shd w:val="clear" w:color="auto" w:fill="FFFFFF"/>
        </w:rPr>
        <w:t> </w:t>
      </w:r>
      <w:r w:rsidRPr="00F30600">
        <w:rPr>
          <w:rStyle w:val="eop"/>
          <w:rFonts w:ascii="Work Sans" w:hAnsi="Work Sans"/>
          <w:shd w:val="clear" w:color="auto" w:fill="FFFFFF"/>
        </w:rPr>
        <w:t> </w:t>
      </w:r>
    </w:p>
  </w:footnote>
  <w:footnote w:id="24">
    <w:p w14:paraId="3C79117A" w14:textId="77777777" w:rsidR="00D96EC6" w:rsidRDefault="00D96EC6" w:rsidP="00D96EC6">
      <w:pPr>
        <w:pStyle w:val="FootnoteText"/>
        <w:ind w:firstLine="720"/>
        <w:jc w:val="both"/>
        <w:rPr>
          <w:rFonts w:asciiTheme="majorHAnsi" w:hAnsiTheme="majorHAnsi"/>
          <w:sz w:val="16"/>
          <w:szCs w:val="16"/>
          <w:bdr w:val="none" w:sz="0" w:space="0" w:color="auto" w:frame="1"/>
        </w:rPr>
      </w:pPr>
      <w:r w:rsidRPr="00F30600">
        <w:rPr>
          <w:rStyle w:val="FootnoteReference"/>
          <w:rFonts w:asciiTheme="majorHAnsi" w:hAnsiTheme="majorHAnsi"/>
          <w:sz w:val="16"/>
          <w:szCs w:val="16"/>
          <w:lang w:val="en"/>
        </w:rPr>
        <w:footnoteRef/>
      </w:r>
      <w:r w:rsidRPr="00F30600">
        <w:rPr>
          <w:rFonts w:asciiTheme="majorHAnsi" w:hAnsiTheme="majorHAnsi"/>
          <w:sz w:val="16"/>
        </w:rPr>
        <w:t xml:space="preserve"> Vienna Convention on the Law of Treaties, U.N. Doc A/CONF.39/27 (1969), Article 26: </w:t>
      </w:r>
      <w:r w:rsidRPr="00F30600">
        <w:rPr>
          <w:rFonts w:asciiTheme="majorHAnsi" w:hAnsiTheme="majorHAnsi"/>
          <w:b/>
          <w:sz w:val="16"/>
        </w:rPr>
        <w:t>"Pacta sunt servanda"</w:t>
      </w:r>
      <w:r w:rsidRPr="00F30600">
        <w:rPr>
          <w:rFonts w:asciiTheme="majorHAnsi" w:hAnsiTheme="majorHAnsi"/>
          <w:sz w:val="16"/>
        </w:rPr>
        <w:t xml:space="preserve"> </w:t>
      </w:r>
      <w:r w:rsidRPr="00F30600">
        <w:rPr>
          <w:rFonts w:asciiTheme="majorHAnsi" w:hAnsiTheme="majorHAnsi"/>
          <w:i/>
          <w:sz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24440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sz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9B1106"/>
    <w:multiLevelType w:val="multilevel"/>
    <w:tmpl w:val="AC0AA6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327AAA"/>
    <w:multiLevelType w:val="multilevel"/>
    <w:tmpl w:val="212E4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05511C0"/>
    <w:multiLevelType w:val="multilevel"/>
    <w:tmpl w:val="70280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6332D1B"/>
    <w:multiLevelType w:val="multilevel"/>
    <w:tmpl w:val="484CDE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6937B3"/>
    <w:multiLevelType w:val="multilevel"/>
    <w:tmpl w:val="0DD4FBCA"/>
    <w:lvl w:ilvl="0">
      <w:start w:val="1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3F3A32"/>
    <w:multiLevelType w:val="multilevel"/>
    <w:tmpl w:val="B5DE9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2A3E31"/>
    <w:multiLevelType w:val="multilevel"/>
    <w:tmpl w:val="446C7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0B281A"/>
    <w:multiLevelType w:val="multilevel"/>
    <w:tmpl w:val="3B464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4C6C7E"/>
    <w:multiLevelType w:val="multilevel"/>
    <w:tmpl w:val="C15E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3A47B71"/>
    <w:multiLevelType w:val="multilevel"/>
    <w:tmpl w:val="CE681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56250FF"/>
    <w:multiLevelType w:val="multilevel"/>
    <w:tmpl w:val="FDE0F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D85491"/>
    <w:multiLevelType w:val="multilevel"/>
    <w:tmpl w:val="11B6C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CE8030C"/>
    <w:multiLevelType w:val="multilevel"/>
    <w:tmpl w:val="4024FFC8"/>
    <w:lvl w:ilvl="0">
      <w:start w:val="1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6FC81C74"/>
    <w:multiLevelType w:val="hybridMultilevel"/>
    <w:tmpl w:val="17A0C2A4"/>
    <w:lvl w:ilvl="0" w:tplc="7AEAC4F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523389"/>
    <w:multiLevelType w:val="multilevel"/>
    <w:tmpl w:val="8B1082CA"/>
    <w:lvl w:ilvl="0">
      <w:start w:val="1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5"/>
  </w:num>
  <w:num w:numId="3" w16cid:durableId="644090258">
    <w:abstractNumId w:val="67"/>
  </w:num>
  <w:num w:numId="4" w16cid:durableId="979070274">
    <w:abstractNumId w:val="25"/>
  </w:num>
  <w:num w:numId="5" w16cid:durableId="744229055">
    <w:abstractNumId w:val="59"/>
  </w:num>
  <w:num w:numId="6" w16cid:durableId="656034568">
    <w:abstractNumId w:val="30"/>
  </w:num>
  <w:num w:numId="7" w16cid:durableId="727655662">
    <w:abstractNumId w:val="7"/>
  </w:num>
  <w:num w:numId="8" w16cid:durableId="1350257806">
    <w:abstractNumId w:val="20"/>
  </w:num>
  <w:num w:numId="9" w16cid:durableId="130488493">
    <w:abstractNumId w:val="44"/>
  </w:num>
  <w:num w:numId="10" w16cid:durableId="1791899799">
    <w:abstractNumId w:val="49"/>
  </w:num>
  <w:num w:numId="11" w16cid:durableId="1674256508">
    <w:abstractNumId w:val="0"/>
  </w:num>
  <w:num w:numId="12" w16cid:durableId="328289490">
    <w:abstractNumId w:val="43"/>
  </w:num>
  <w:num w:numId="13" w16cid:durableId="2031712440">
    <w:abstractNumId w:val="52"/>
  </w:num>
  <w:num w:numId="14" w16cid:durableId="988286315">
    <w:abstractNumId w:val="1"/>
  </w:num>
  <w:num w:numId="15" w16cid:durableId="660932786">
    <w:abstractNumId w:val="2"/>
  </w:num>
  <w:num w:numId="16" w16cid:durableId="1295603021">
    <w:abstractNumId w:val="8"/>
  </w:num>
  <w:num w:numId="17" w16cid:durableId="1635525239">
    <w:abstractNumId w:val="9"/>
  </w:num>
  <w:num w:numId="18" w16cid:durableId="1376467736">
    <w:abstractNumId w:val="10"/>
  </w:num>
  <w:num w:numId="19" w16cid:durableId="2051685552">
    <w:abstractNumId w:val="11"/>
  </w:num>
  <w:num w:numId="20" w16cid:durableId="1954092195">
    <w:abstractNumId w:val="12"/>
  </w:num>
  <w:num w:numId="21" w16cid:durableId="946888988">
    <w:abstractNumId w:val="14"/>
  </w:num>
  <w:num w:numId="22" w16cid:durableId="1964074556">
    <w:abstractNumId w:val="15"/>
  </w:num>
  <w:num w:numId="23" w16cid:durableId="1814832409">
    <w:abstractNumId w:val="17"/>
  </w:num>
  <w:num w:numId="24" w16cid:durableId="948394290">
    <w:abstractNumId w:val="18"/>
  </w:num>
  <w:num w:numId="25" w16cid:durableId="1638756803">
    <w:abstractNumId w:val="21"/>
  </w:num>
  <w:num w:numId="26" w16cid:durableId="1624967865">
    <w:abstractNumId w:val="22"/>
  </w:num>
  <w:num w:numId="27" w16cid:durableId="2043244992">
    <w:abstractNumId w:val="26"/>
  </w:num>
  <w:num w:numId="28" w16cid:durableId="2132673565">
    <w:abstractNumId w:val="27"/>
  </w:num>
  <w:num w:numId="29" w16cid:durableId="441926786">
    <w:abstractNumId w:val="28"/>
  </w:num>
  <w:num w:numId="30" w16cid:durableId="843399322">
    <w:abstractNumId w:val="29"/>
  </w:num>
  <w:num w:numId="31" w16cid:durableId="336033175">
    <w:abstractNumId w:val="31"/>
  </w:num>
  <w:num w:numId="32" w16cid:durableId="1564364854">
    <w:abstractNumId w:val="32"/>
  </w:num>
  <w:num w:numId="33" w16cid:durableId="1366178073">
    <w:abstractNumId w:val="34"/>
  </w:num>
  <w:num w:numId="34" w16cid:durableId="720907309">
    <w:abstractNumId w:val="35"/>
  </w:num>
  <w:num w:numId="35" w16cid:durableId="1926572843">
    <w:abstractNumId w:val="37"/>
  </w:num>
  <w:num w:numId="36" w16cid:durableId="1538931130">
    <w:abstractNumId w:val="38"/>
  </w:num>
  <w:num w:numId="37" w16cid:durableId="1879511819">
    <w:abstractNumId w:val="41"/>
  </w:num>
  <w:num w:numId="38" w16cid:durableId="1428386966">
    <w:abstractNumId w:val="42"/>
  </w:num>
  <w:num w:numId="39" w16cid:durableId="142551894">
    <w:abstractNumId w:val="45"/>
  </w:num>
  <w:num w:numId="40" w16cid:durableId="824711039">
    <w:abstractNumId w:val="46"/>
  </w:num>
  <w:num w:numId="41" w16cid:durableId="1108282090">
    <w:abstractNumId w:val="57"/>
  </w:num>
  <w:num w:numId="42" w16cid:durableId="1611428575">
    <w:abstractNumId w:val="60"/>
  </w:num>
  <w:num w:numId="43" w16cid:durableId="1270040612">
    <w:abstractNumId w:val="61"/>
  </w:num>
  <w:num w:numId="44" w16cid:durableId="1808666855">
    <w:abstractNumId w:val="64"/>
  </w:num>
  <w:num w:numId="45" w16cid:durableId="751901012">
    <w:abstractNumId w:val="66"/>
  </w:num>
  <w:num w:numId="46" w16cid:durableId="64649807">
    <w:abstractNumId w:val="68"/>
  </w:num>
  <w:num w:numId="47" w16cid:durableId="119230681">
    <w:abstractNumId w:val="69"/>
  </w:num>
  <w:num w:numId="48" w16cid:durableId="803155736">
    <w:abstractNumId w:val="70"/>
  </w:num>
  <w:num w:numId="49" w16cid:durableId="1357391496">
    <w:abstractNumId w:val="71"/>
  </w:num>
  <w:num w:numId="50" w16cid:durableId="343672891">
    <w:abstractNumId w:val="72"/>
  </w:num>
  <w:num w:numId="51" w16cid:durableId="592787785">
    <w:abstractNumId w:val="24"/>
  </w:num>
  <w:num w:numId="52" w16cid:durableId="1631744929">
    <w:abstractNumId w:val="47"/>
  </w:num>
  <w:num w:numId="53" w16cid:durableId="1848640289">
    <w:abstractNumId w:val="63"/>
  </w:num>
  <w:num w:numId="54" w16cid:durableId="1577782847">
    <w:abstractNumId w:val="53"/>
  </w:num>
  <w:num w:numId="55" w16cid:durableId="656763769">
    <w:abstractNumId w:val="55"/>
  </w:num>
  <w:num w:numId="56" w16cid:durableId="1469783750">
    <w:abstractNumId w:val="23"/>
  </w:num>
  <w:num w:numId="57" w16cid:durableId="442530277">
    <w:abstractNumId w:val="40"/>
  </w:num>
  <w:num w:numId="58" w16cid:durableId="546337239">
    <w:abstractNumId w:val="36"/>
  </w:num>
  <w:num w:numId="59" w16cid:durableId="545528154">
    <w:abstractNumId w:val="33"/>
  </w:num>
  <w:num w:numId="60" w16cid:durableId="901405160">
    <w:abstractNumId w:val="48"/>
  </w:num>
  <w:num w:numId="61" w16cid:durableId="1400519935">
    <w:abstractNumId w:val="39"/>
  </w:num>
  <w:num w:numId="62" w16cid:durableId="1366517187">
    <w:abstractNumId w:val="50"/>
  </w:num>
  <w:num w:numId="63" w16cid:durableId="755908690">
    <w:abstractNumId w:val="51"/>
  </w:num>
  <w:num w:numId="64" w16cid:durableId="1584102400">
    <w:abstractNumId w:val="6"/>
  </w:num>
  <w:num w:numId="65" w16cid:durableId="1822380064">
    <w:abstractNumId w:val="4"/>
  </w:num>
  <w:num w:numId="66" w16cid:durableId="701057410">
    <w:abstractNumId w:val="13"/>
  </w:num>
  <w:num w:numId="67" w16cid:durableId="960109337">
    <w:abstractNumId w:val="19"/>
  </w:num>
  <w:num w:numId="68" w16cid:durableId="1325863125">
    <w:abstractNumId w:val="65"/>
  </w:num>
  <w:num w:numId="69" w16cid:durableId="1959749573">
    <w:abstractNumId w:val="16"/>
  </w:num>
  <w:num w:numId="70" w16cid:durableId="1196964061">
    <w:abstractNumId w:val="56"/>
  </w:num>
  <w:num w:numId="71" w16cid:durableId="1423061511">
    <w:abstractNumId w:val="58"/>
  </w:num>
  <w:num w:numId="72" w16cid:durableId="583730576">
    <w:abstractNumId w:val="62"/>
  </w:num>
  <w:num w:numId="73" w16cid:durableId="746532217">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1BA8"/>
    <w:rsid w:val="00017098"/>
    <w:rsid w:val="0001788C"/>
    <w:rsid w:val="00036A8A"/>
    <w:rsid w:val="00037D56"/>
    <w:rsid w:val="00040C3A"/>
    <w:rsid w:val="000514AA"/>
    <w:rsid w:val="000639C0"/>
    <w:rsid w:val="00070F3A"/>
    <w:rsid w:val="000716C5"/>
    <w:rsid w:val="00075E23"/>
    <w:rsid w:val="00083C73"/>
    <w:rsid w:val="00092F32"/>
    <w:rsid w:val="0009344A"/>
    <w:rsid w:val="000A575F"/>
    <w:rsid w:val="000D10DB"/>
    <w:rsid w:val="000D7325"/>
    <w:rsid w:val="000F2B88"/>
    <w:rsid w:val="00126D27"/>
    <w:rsid w:val="0013104F"/>
    <w:rsid w:val="00131A67"/>
    <w:rsid w:val="00137EBA"/>
    <w:rsid w:val="00145EDC"/>
    <w:rsid w:val="001633DC"/>
    <w:rsid w:val="00167A34"/>
    <w:rsid w:val="0018037F"/>
    <w:rsid w:val="001A5F27"/>
    <w:rsid w:val="001A7870"/>
    <w:rsid w:val="001B00F0"/>
    <w:rsid w:val="001C1B41"/>
    <w:rsid w:val="00210E0E"/>
    <w:rsid w:val="002341A5"/>
    <w:rsid w:val="00244404"/>
    <w:rsid w:val="00247403"/>
    <w:rsid w:val="00247542"/>
    <w:rsid w:val="00257893"/>
    <w:rsid w:val="00266092"/>
    <w:rsid w:val="00266B61"/>
    <w:rsid w:val="0026712A"/>
    <w:rsid w:val="002704DB"/>
    <w:rsid w:val="002A65AC"/>
    <w:rsid w:val="002C1641"/>
    <w:rsid w:val="002D7EA2"/>
    <w:rsid w:val="002E15DF"/>
    <w:rsid w:val="002E187C"/>
    <w:rsid w:val="002E6071"/>
    <w:rsid w:val="002E6E57"/>
    <w:rsid w:val="00301075"/>
    <w:rsid w:val="00302733"/>
    <w:rsid w:val="00311A4F"/>
    <w:rsid w:val="00314078"/>
    <w:rsid w:val="00322450"/>
    <w:rsid w:val="003246B5"/>
    <w:rsid w:val="0033169F"/>
    <w:rsid w:val="003414AC"/>
    <w:rsid w:val="00356185"/>
    <w:rsid w:val="00360380"/>
    <w:rsid w:val="003815A8"/>
    <w:rsid w:val="00386CF0"/>
    <w:rsid w:val="003902C1"/>
    <w:rsid w:val="003C32BC"/>
    <w:rsid w:val="003F029E"/>
    <w:rsid w:val="003F1BBF"/>
    <w:rsid w:val="004165C2"/>
    <w:rsid w:val="00443A96"/>
    <w:rsid w:val="00450A4A"/>
    <w:rsid w:val="004666FB"/>
    <w:rsid w:val="00467B7E"/>
    <w:rsid w:val="00475986"/>
    <w:rsid w:val="0049165C"/>
    <w:rsid w:val="0049419D"/>
    <w:rsid w:val="004B2762"/>
    <w:rsid w:val="004B734A"/>
    <w:rsid w:val="004B7EB6"/>
    <w:rsid w:val="004C4B62"/>
    <w:rsid w:val="004D6025"/>
    <w:rsid w:val="004D72BC"/>
    <w:rsid w:val="00501399"/>
    <w:rsid w:val="00507BC4"/>
    <w:rsid w:val="005128E4"/>
    <w:rsid w:val="00525560"/>
    <w:rsid w:val="005357A6"/>
    <w:rsid w:val="00544C49"/>
    <w:rsid w:val="0056643D"/>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96D46"/>
    <w:rsid w:val="006A17D2"/>
    <w:rsid w:val="006A73E6"/>
    <w:rsid w:val="006B2D5C"/>
    <w:rsid w:val="006C4EB1"/>
    <w:rsid w:val="006E0166"/>
    <w:rsid w:val="006E7B34"/>
    <w:rsid w:val="006F4B48"/>
    <w:rsid w:val="00701B24"/>
    <w:rsid w:val="00745899"/>
    <w:rsid w:val="007528B4"/>
    <w:rsid w:val="007607C4"/>
    <w:rsid w:val="0076643F"/>
    <w:rsid w:val="007941D4"/>
    <w:rsid w:val="007A2F70"/>
    <w:rsid w:val="007C3334"/>
    <w:rsid w:val="007C52BB"/>
    <w:rsid w:val="007D2B98"/>
    <w:rsid w:val="00803F1C"/>
    <w:rsid w:val="0080600E"/>
    <w:rsid w:val="00815495"/>
    <w:rsid w:val="00817612"/>
    <w:rsid w:val="00837C45"/>
    <w:rsid w:val="008460F7"/>
    <w:rsid w:val="00853419"/>
    <w:rsid w:val="008901ED"/>
    <w:rsid w:val="00897E12"/>
    <w:rsid w:val="008A69D6"/>
    <w:rsid w:val="008B04D5"/>
    <w:rsid w:val="008D43BA"/>
    <w:rsid w:val="008E3759"/>
    <w:rsid w:val="009041DC"/>
    <w:rsid w:val="009104B4"/>
    <w:rsid w:val="00917170"/>
    <w:rsid w:val="00925FCD"/>
    <w:rsid w:val="0093441A"/>
    <w:rsid w:val="00954BF7"/>
    <w:rsid w:val="0096706E"/>
    <w:rsid w:val="00981FBA"/>
    <w:rsid w:val="009B381B"/>
    <w:rsid w:val="009C03F0"/>
    <w:rsid w:val="009D7611"/>
    <w:rsid w:val="009D770B"/>
    <w:rsid w:val="009E4878"/>
    <w:rsid w:val="009E53DE"/>
    <w:rsid w:val="00A43458"/>
    <w:rsid w:val="00A47A3B"/>
    <w:rsid w:val="00A528D1"/>
    <w:rsid w:val="00A554F8"/>
    <w:rsid w:val="00A66BE5"/>
    <w:rsid w:val="00AD37C1"/>
    <w:rsid w:val="00AE66EC"/>
    <w:rsid w:val="00AE6F91"/>
    <w:rsid w:val="00AF4C59"/>
    <w:rsid w:val="00AF5571"/>
    <w:rsid w:val="00B167E9"/>
    <w:rsid w:val="00B265F3"/>
    <w:rsid w:val="00B314DB"/>
    <w:rsid w:val="00B31EBE"/>
    <w:rsid w:val="00B3718B"/>
    <w:rsid w:val="00B4632A"/>
    <w:rsid w:val="00BA2344"/>
    <w:rsid w:val="00BA276C"/>
    <w:rsid w:val="00BB306F"/>
    <w:rsid w:val="00BD1D47"/>
    <w:rsid w:val="00BD232B"/>
    <w:rsid w:val="00BD4B89"/>
    <w:rsid w:val="00C055CE"/>
    <w:rsid w:val="00C21762"/>
    <w:rsid w:val="00C24543"/>
    <w:rsid w:val="00C256A2"/>
    <w:rsid w:val="00C3492D"/>
    <w:rsid w:val="00C53389"/>
    <w:rsid w:val="00C55560"/>
    <w:rsid w:val="00C66B72"/>
    <w:rsid w:val="00C745E3"/>
    <w:rsid w:val="00C8767B"/>
    <w:rsid w:val="00C9567A"/>
    <w:rsid w:val="00CB2125"/>
    <w:rsid w:val="00CB2660"/>
    <w:rsid w:val="00CC5E90"/>
    <w:rsid w:val="00CD046C"/>
    <w:rsid w:val="00CE5199"/>
    <w:rsid w:val="00CE66D5"/>
    <w:rsid w:val="00D113FD"/>
    <w:rsid w:val="00D34786"/>
    <w:rsid w:val="00D40A1E"/>
    <w:rsid w:val="00D712D3"/>
    <w:rsid w:val="00D71422"/>
    <w:rsid w:val="00D7145E"/>
    <w:rsid w:val="00D7558D"/>
    <w:rsid w:val="00D81D92"/>
    <w:rsid w:val="00D93446"/>
    <w:rsid w:val="00D96EC6"/>
    <w:rsid w:val="00DA37B6"/>
    <w:rsid w:val="00DA56AD"/>
    <w:rsid w:val="00DA7B5F"/>
    <w:rsid w:val="00DD6F29"/>
    <w:rsid w:val="00E43157"/>
    <w:rsid w:val="00E533FF"/>
    <w:rsid w:val="00E55170"/>
    <w:rsid w:val="00E709B3"/>
    <w:rsid w:val="00E8789F"/>
    <w:rsid w:val="00E97B71"/>
    <w:rsid w:val="00EB454D"/>
    <w:rsid w:val="00EE3522"/>
    <w:rsid w:val="00EF619B"/>
    <w:rsid w:val="00F00B55"/>
    <w:rsid w:val="00F1380F"/>
    <w:rsid w:val="00F14F0E"/>
    <w:rsid w:val="00F24C29"/>
    <w:rsid w:val="00F253CC"/>
    <w:rsid w:val="00F30600"/>
    <w:rsid w:val="00F56BA5"/>
    <w:rsid w:val="00F644E6"/>
    <w:rsid w:val="00F9653B"/>
    <w:rsid w:val="00FA675D"/>
    <w:rsid w:val="00FB62CF"/>
    <w:rsid w:val="00FC3EB4"/>
    <w:rsid w:val="00FC6C58"/>
    <w:rsid w:val="00FE6B45"/>
    <w:rsid w:val="00FF5851"/>
    <w:rsid w:val="00FF6F2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1,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1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D96E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96EC6"/>
  </w:style>
  <w:style w:type="character" w:customStyle="1" w:styleId="eop">
    <w:name w:val="eop"/>
    <w:basedOn w:val="DefaultParagraphFont"/>
    <w:rsid w:val="00D96EC6"/>
  </w:style>
  <w:style w:type="paragraph" w:styleId="Revision">
    <w:name w:val="Revision"/>
    <w:hidden/>
    <w:uiPriority w:val="99"/>
    <w:semiHidden/>
    <w:rsid w:val="001B00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33211</Characters>
  <Application>Microsoft Office Word</Application>
  <DocSecurity>0</DocSecurity>
  <Lines>677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109/23</dc:title>
  <dc:subject/>
  <dc:creator/>
  <cp:keywords/>
  <dc:description/>
  <cp:lastModifiedBy/>
  <cp:revision>1</cp:revision>
  <dcterms:created xsi:type="dcterms:W3CDTF">2023-08-24T21:15:00Z</dcterms:created>
  <dcterms:modified xsi:type="dcterms:W3CDTF">2023-08-24T21:15:00Z</dcterms:modified>
</cp:coreProperties>
</file>